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862" w:type="pct"/>
        <w:tblCellSpacing w:w="0" w:type="dxa"/>
        <w:tblInd w:w="426" w:type="dxa"/>
        <w:tblCellMar>
          <w:left w:w="0" w:type="dxa"/>
          <w:right w:w="0" w:type="dxa"/>
        </w:tblCellMar>
        <w:tblLook w:val="04A0"/>
      </w:tblPr>
      <w:tblGrid>
        <w:gridCol w:w="8931"/>
      </w:tblGrid>
      <w:tr w:rsidR="00CB1354" w:rsidTr="00510EBD">
        <w:trPr>
          <w:tblCellSpacing w:w="0" w:type="dxa"/>
        </w:trPr>
        <w:tc>
          <w:tcPr>
            <w:tcW w:w="5000" w:type="pct"/>
            <w:hideMark/>
          </w:tcPr>
          <w:tbl>
            <w:tblPr>
              <w:tblW w:w="5000" w:type="pct"/>
              <w:tblCellSpacing w:w="0" w:type="dxa"/>
              <w:tblCellMar>
                <w:left w:w="0" w:type="dxa"/>
                <w:right w:w="0" w:type="dxa"/>
              </w:tblCellMar>
              <w:tblLook w:val="04A0"/>
            </w:tblPr>
            <w:tblGrid>
              <w:gridCol w:w="8931"/>
            </w:tblGrid>
            <w:tr w:rsidR="00CB1354" w:rsidTr="00152C7B">
              <w:trPr>
                <w:trHeight w:val="2694"/>
                <w:tblCellSpacing w:w="0" w:type="dxa"/>
              </w:trPr>
              <w:tc>
                <w:tcPr>
                  <w:tcW w:w="0" w:type="auto"/>
                  <w:hideMark/>
                </w:tcPr>
                <w:p w:rsidR="00CB1354" w:rsidRDefault="00CB1354" w:rsidP="00152C7B">
                  <w:pPr>
                    <w:jc w:val="both"/>
                  </w:pPr>
                </w:p>
                <w:p w:rsidR="00510EBD" w:rsidRPr="00510EBD" w:rsidRDefault="00510EBD" w:rsidP="00152C7B">
                  <w:pPr>
                    <w:pStyle w:val="2"/>
                    <w:jc w:val="both"/>
                    <w:rPr>
                      <w:b w:val="0"/>
                      <w:sz w:val="28"/>
                      <w:szCs w:val="28"/>
                    </w:rPr>
                  </w:pPr>
                  <w:r w:rsidRPr="00510EBD">
                    <w:rPr>
                      <w:b w:val="0"/>
                      <w:sz w:val="28"/>
                      <w:szCs w:val="28"/>
                    </w:rPr>
                    <w:t>Αγαπητοί συνάδελφοι,</w:t>
                  </w:r>
                </w:p>
                <w:p w:rsidR="00510EBD" w:rsidRPr="00510EBD" w:rsidRDefault="00510EBD" w:rsidP="00510EBD">
                  <w:pPr>
                    <w:pStyle w:val="2"/>
                    <w:jc w:val="both"/>
                    <w:rPr>
                      <w:b w:val="0"/>
                      <w:sz w:val="28"/>
                      <w:szCs w:val="28"/>
                    </w:rPr>
                  </w:pPr>
                  <w:r>
                    <w:rPr>
                      <w:b w:val="0"/>
                      <w:sz w:val="28"/>
                      <w:szCs w:val="28"/>
                    </w:rPr>
                    <w:t xml:space="preserve">             σ</w:t>
                  </w:r>
                  <w:r w:rsidRPr="00510EBD">
                    <w:rPr>
                      <w:b w:val="0"/>
                      <w:sz w:val="28"/>
                      <w:szCs w:val="28"/>
                    </w:rPr>
                    <w:t>ας  ενημερώνουμε  ότι  ανακοινώθηκε</w:t>
                  </w:r>
                  <w:r w:rsidR="00697C85">
                    <w:rPr>
                      <w:b w:val="0"/>
                      <w:sz w:val="28"/>
                      <w:szCs w:val="28"/>
                    </w:rPr>
                    <w:t xml:space="preserve">  το πρόγραμμα  ΕΣΠΑ:</w:t>
                  </w:r>
                  <w:r w:rsidRPr="00510EBD">
                    <w:rPr>
                      <w:b w:val="0"/>
                      <w:sz w:val="28"/>
                      <w:szCs w:val="28"/>
                    </w:rPr>
                    <w:t xml:space="preserve">  </w:t>
                  </w:r>
                  <w:r w:rsidRPr="00510EBD">
                    <w:rPr>
                      <w:sz w:val="28"/>
                      <w:szCs w:val="28"/>
                    </w:rPr>
                    <w:t xml:space="preserve">«Ενίσχυση της </w:t>
                  </w:r>
                  <w:proofErr w:type="spellStart"/>
                  <w:r w:rsidRPr="00510EBD">
                    <w:rPr>
                      <w:sz w:val="28"/>
                      <w:szCs w:val="28"/>
                    </w:rPr>
                    <w:t>Αυτοαπασχόλησης</w:t>
                  </w:r>
                  <w:proofErr w:type="spellEnd"/>
                  <w:r w:rsidRPr="00510EBD">
                    <w:rPr>
                      <w:sz w:val="28"/>
                      <w:szCs w:val="28"/>
                    </w:rPr>
                    <w:t xml:space="preserve">  Πτυχιούχων  Τριτοβάθμιας  Εκπαίδευσης»</w:t>
                  </w:r>
                  <w:r w:rsidRPr="00510EBD">
                    <w:rPr>
                      <w:b w:val="0"/>
                      <w:sz w:val="28"/>
                      <w:szCs w:val="28"/>
                    </w:rPr>
                    <w:t xml:space="preserve"> </w:t>
                  </w:r>
                  <w:r w:rsidR="00697C85">
                    <w:rPr>
                      <w:b w:val="0"/>
                      <w:sz w:val="28"/>
                      <w:szCs w:val="28"/>
                    </w:rPr>
                    <w:t xml:space="preserve">  </w:t>
                  </w:r>
                  <w:r w:rsidRPr="00510EBD">
                    <w:rPr>
                      <w:b w:val="0"/>
                      <w:sz w:val="28"/>
                      <w:szCs w:val="28"/>
                    </w:rPr>
                    <w:t>ως  ακολούθως:</w:t>
                  </w:r>
                </w:p>
                <w:p w:rsidR="00510EBD" w:rsidRPr="00510EBD" w:rsidRDefault="00510EBD" w:rsidP="00152C7B">
                  <w:pPr>
                    <w:pStyle w:val="2"/>
                    <w:jc w:val="both"/>
                  </w:pPr>
                </w:p>
                <w:p w:rsidR="00CB1354" w:rsidRDefault="00CB1354" w:rsidP="00152C7B">
                  <w:pPr>
                    <w:pStyle w:val="2"/>
                    <w:jc w:val="both"/>
                  </w:pPr>
                  <w:r>
                    <w:t xml:space="preserve">Προγράμματα - Προσκλήσεις </w:t>
                  </w:r>
                </w:p>
                <w:p w:rsidR="00CB1354" w:rsidRDefault="00CB1354" w:rsidP="00137C21">
                  <w:pPr>
                    <w:pStyle w:val="3"/>
                    <w:jc w:val="both"/>
                  </w:pPr>
                  <w:r>
                    <w:t xml:space="preserve">Ενίσχυση της </w:t>
                  </w:r>
                  <w:proofErr w:type="spellStart"/>
                  <w:r>
                    <w:t>αυτοαπασχόλησης</w:t>
                  </w:r>
                  <w:proofErr w:type="spellEnd"/>
                  <w:r>
                    <w:t xml:space="preserve"> πτυχιούχων τριτοβάθμιας εκπαίδευσης (Β' κύκλος)</w:t>
                  </w:r>
                </w:p>
                <w:p w:rsidR="00CB1354" w:rsidRDefault="00CB1354" w:rsidP="00152C7B">
                  <w:pPr>
                    <w:pStyle w:val="Web"/>
                    <w:jc w:val="both"/>
                  </w:pPr>
                  <w:r>
                    <w:t xml:space="preserve">Υποστήριξη πτυχιούχων τριτοβάθμιας εκπαίδευσης, ανέργων, μισθωτών και αυτοαπασχολούμενων, για την έναρξη/υποστήριξη της άσκησης επαγγελματικής δραστηριότητας συναφούς με την ειδικότητά τους, σε αυτοτελή επαγγελματικό χώρο. Επιδίωξη του προγράμματος είναι η ενίσχυση της </w:t>
                  </w:r>
                  <w:proofErr w:type="spellStart"/>
                  <w:r>
                    <w:t>αυτοαπασχόλησης</w:t>
                  </w:r>
                  <w:proofErr w:type="spellEnd"/>
                  <w:r>
                    <w:t xml:space="preserve"> των πτυχιούχων και η δημιουργία νέων θέσεων εργασίας.</w:t>
                  </w:r>
                </w:p>
                <w:p w:rsidR="00CB1354" w:rsidRDefault="00CB1354" w:rsidP="00152C7B">
                  <w:pPr>
                    <w:pStyle w:val="4"/>
                    <w:jc w:val="both"/>
                  </w:pPr>
                  <w:r>
                    <w:t>Σε ποιους απευθύνεται</w:t>
                  </w:r>
                </w:p>
                <w:p w:rsidR="00CB1354" w:rsidRDefault="00CB1354" w:rsidP="00152C7B">
                  <w:pPr>
                    <w:pStyle w:val="Web"/>
                    <w:jc w:val="both"/>
                  </w:pPr>
                  <w:r>
                    <w:t>Απόφοιτοι ΑΕΙ/ΤΕΙ ή ισότιμης σχολής Ελλάδος ή εξωτερικού (αναγνωρισμένη από το ΔΟΑΤΑΠ) ή κάτοχοι αναγνώρισης επαγγελματικών προσόντων από  ΣΑΕΙ ή ΣΑΕΠ. Επίσης, πτυχία από Σχολές Θεάτρου και Χορού αναγνωρισμένες από το Υπ. Πολιτισμού ως τριτοβάθμιες και απόφοιτοι Μουσικών Εκπαιδευτηρίων αναγνωρισμένων από το Κράτος (το πρώτο πτυχίο θα πρέπει να έχει αποκτηθεί μετά την 1/1/1995). Μπορούν να συμμετέχουν:</w:t>
                  </w:r>
                </w:p>
                <w:p w:rsidR="00CB1354" w:rsidRDefault="00CB1354" w:rsidP="00152C7B">
                  <w:pPr>
                    <w:numPr>
                      <w:ilvl w:val="0"/>
                      <w:numId w:val="2"/>
                    </w:numPr>
                    <w:spacing w:before="100" w:beforeAutospacing="1" w:after="240" w:line="240" w:lineRule="auto"/>
                    <w:jc w:val="both"/>
                  </w:pPr>
                  <w:r>
                    <w:rPr>
                      <w:rStyle w:val="a3"/>
                    </w:rPr>
                    <w:t>Κατηγορία Δικαιούχων Α:</w:t>
                  </w:r>
                  <w:r>
                    <w:t>  Άνεργοι, εγγεγραμμένοι στα μητρώα ανέργων του ΟΑΕΔ, μισθωτοί (πλήρους ή μερικής ή εποχιακής απασχόλησης), υφιστάμενοι επιχειρηματίες που θα συστήσουν νέα εταιρία με ανέργους ή μισθωτούς.</w:t>
                  </w:r>
                </w:p>
                <w:p w:rsidR="00CB1354" w:rsidRDefault="00CB1354" w:rsidP="00152C7B">
                  <w:pPr>
                    <w:numPr>
                      <w:ilvl w:val="0"/>
                      <w:numId w:val="2"/>
                    </w:numPr>
                    <w:spacing w:before="100" w:beforeAutospacing="1" w:after="100" w:afterAutospacing="1" w:line="240" w:lineRule="auto"/>
                    <w:jc w:val="both"/>
                  </w:pPr>
                  <w:r>
                    <w:rPr>
                      <w:rStyle w:val="a3"/>
                    </w:rPr>
                    <w:t>Κατηγορία Δικαιούχων Β:</w:t>
                  </w:r>
                  <w:r>
                    <w:t xml:space="preserve"> Υφιστάμενοι ατομικοί επιχειρηματίες (αυτοαπασχολούμενοι) που ασκούν ήδη συναφή με την ειδικότητά τους (τίτλο σπουδών) επαγγελματική δραστηριότητα, όπως επίσης και συνεργασίες μεταξύ αυτών.</w:t>
                  </w:r>
                </w:p>
                <w:p w:rsidR="00CB1354" w:rsidRDefault="00CB1354" w:rsidP="00152C7B">
                  <w:pPr>
                    <w:pStyle w:val="Web"/>
                    <w:jc w:val="both"/>
                  </w:pPr>
                  <w:r>
                    <w:br/>
                    <w:t>Επιδοτούνται για τη δημιουργία, οργάνωση, υποστήριξη και λειτουργία νέας ή υφιστάμενης επιχείρησης συναφούς με τις σπουδές τους, με 5.000-25.000€ για ένα δικαιούχο με ατομική επιχείρηση, έως 40.000€ για συνεργατικά σχήματα δύο ατόμων, έως 50.000€ για συνεργασίες τριών ή περισσοτέρων.</w:t>
                  </w:r>
                </w:p>
                <w:p w:rsidR="00CB1354" w:rsidRDefault="00CB1354" w:rsidP="00152C7B">
                  <w:pPr>
                    <w:pStyle w:val="4"/>
                    <w:jc w:val="both"/>
                  </w:pPr>
                  <w:r>
                    <w:t>Περίοδος υποβολής</w:t>
                  </w:r>
                </w:p>
                <w:p w:rsidR="00CB1354" w:rsidRDefault="00CB1354" w:rsidP="00152C7B">
                  <w:pPr>
                    <w:pStyle w:val="Web"/>
                    <w:jc w:val="both"/>
                  </w:pPr>
                  <w:r>
                    <w:t xml:space="preserve">από 5/7/2017 έως 9/8/2017 </w:t>
                  </w:r>
                </w:p>
                <w:p w:rsidR="00CB1354" w:rsidRDefault="00CB1354" w:rsidP="00152C7B">
                  <w:pPr>
                    <w:pStyle w:val="Web"/>
                    <w:jc w:val="both"/>
                  </w:pPr>
                  <w:r>
                    <w:t>Η ηλεκτρονική υποβολή μπορεί να γίνει σε 3 διαφορετικές περιόδους οι οποίες είναι οι εξής:</w:t>
                  </w:r>
                </w:p>
                <w:p w:rsidR="00CB1354" w:rsidRDefault="00CB1354" w:rsidP="00152C7B">
                  <w:pPr>
                    <w:numPr>
                      <w:ilvl w:val="0"/>
                      <w:numId w:val="3"/>
                    </w:numPr>
                    <w:spacing w:before="100" w:beforeAutospacing="1" w:after="100" w:afterAutospacing="1" w:line="240" w:lineRule="auto"/>
                    <w:jc w:val="both"/>
                  </w:pPr>
                  <w:r>
                    <w:rPr>
                      <w:rStyle w:val="a3"/>
                    </w:rPr>
                    <w:t xml:space="preserve">1η περίοδος </w:t>
                  </w:r>
                  <w:r>
                    <w:t>υποβολής:</w:t>
                  </w:r>
                  <w:r>
                    <w:rPr>
                      <w:rStyle w:val="a3"/>
                    </w:rPr>
                    <w:t> </w:t>
                  </w:r>
                  <w:r>
                    <w:t xml:space="preserve">από </w:t>
                  </w:r>
                  <w:r>
                    <w:rPr>
                      <w:rStyle w:val="a3"/>
                    </w:rPr>
                    <w:t>5/7/2017 </w:t>
                  </w:r>
                  <w:r>
                    <w:t xml:space="preserve">έως </w:t>
                  </w:r>
                  <w:r>
                    <w:rPr>
                      <w:rStyle w:val="a3"/>
                    </w:rPr>
                    <w:t>9/8/2017</w:t>
                  </w:r>
                </w:p>
                <w:p w:rsidR="00CB1354" w:rsidRDefault="00CB1354" w:rsidP="00152C7B">
                  <w:pPr>
                    <w:numPr>
                      <w:ilvl w:val="0"/>
                      <w:numId w:val="3"/>
                    </w:numPr>
                    <w:spacing w:before="100" w:beforeAutospacing="1" w:after="100" w:afterAutospacing="1" w:line="240" w:lineRule="auto"/>
                    <w:jc w:val="both"/>
                  </w:pPr>
                  <w:r>
                    <w:rPr>
                      <w:rStyle w:val="a3"/>
                    </w:rPr>
                    <w:lastRenderedPageBreak/>
                    <w:t xml:space="preserve">2η περίοδος </w:t>
                  </w:r>
                  <w:r>
                    <w:t xml:space="preserve">υποβολής: από </w:t>
                  </w:r>
                  <w:r>
                    <w:rPr>
                      <w:rStyle w:val="a3"/>
                    </w:rPr>
                    <w:t>6/9/2017 </w:t>
                  </w:r>
                  <w:r>
                    <w:t xml:space="preserve">έως </w:t>
                  </w:r>
                  <w:r>
                    <w:rPr>
                      <w:rStyle w:val="a3"/>
                    </w:rPr>
                    <w:t>11/10/2017</w:t>
                  </w:r>
                </w:p>
                <w:p w:rsidR="00CB1354" w:rsidRDefault="00CB1354" w:rsidP="00152C7B">
                  <w:pPr>
                    <w:pStyle w:val="Web"/>
                    <w:numPr>
                      <w:ilvl w:val="0"/>
                      <w:numId w:val="3"/>
                    </w:numPr>
                    <w:jc w:val="both"/>
                  </w:pPr>
                  <w:r>
                    <w:rPr>
                      <w:rStyle w:val="a3"/>
                    </w:rPr>
                    <w:t xml:space="preserve">3η περίοδος </w:t>
                  </w:r>
                  <w:r>
                    <w:t xml:space="preserve">υποβολής: από </w:t>
                  </w:r>
                  <w:r>
                    <w:rPr>
                      <w:rStyle w:val="a3"/>
                    </w:rPr>
                    <w:t>8/11/2017 </w:t>
                  </w:r>
                  <w:r>
                    <w:t xml:space="preserve">έως </w:t>
                  </w:r>
                  <w:r>
                    <w:rPr>
                      <w:rStyle w:val="a3"/>
                    </w:rPr>
                    <w:t>13/12/2017 </w:t>
                  </w:r>
                </w:p>
                <w:p w:rsidR="00CB1354" w:rsidRDefault="00CB1354" w:rsidP="00152C7B">
                  <w:pPr>
                    <w:pStyle w:val="Web"/>
                    <w:jc w:val="both"/>
                  </w:pPr>
                  <w:r>
                    <w:t xml:space="preserve">Οι αιτήσεις χρηματοδότησης υποβάλλονται ΜΟΝΟ ηλεκτρονικά μέσω του δικτυακού τόπου: </w:t>
                  </w:r>
                  <w:hyperlink r:id="rId5" w:history="1">
                    <w:r>
                      <w:rPr>
                        <w:rStyle w:val="-"/>
                        <w:rFonts w:eastAsiaTheme="majorEastAsia"/>
                      </w:rPr>
                      <w:t>www.ependyseis.gr/mis.</w:t>
                    </w:r>
                  </w:hyperlink>
                  <w:r>
                    <w:t> </w:t>
                  </w:r>
                </w:p>
                <w:p w:rsidR="00CB1354" w:rsidRDefault="00CB1354" w:rsidP="00152C7B">
                  <w:pPr>
                    <w:pStyle w:val="Web"/>
                    <w:jc w:val="both"/>
                  </w:pPr>
                  <w:r>
                    <w:t>Κάθε δυνητικός δικαιούχος, έχει δικαίωμα υποβολής σε μια μόνο περίοδο υποβολής αιτήσεων. Δυνητικοί δικαιούχοι οι οποίοι έχουν ενταχθεί στο πλαίσιο του Α' κύκλου της Δράσης, δεν έχουν δικαίωμα υποβολής στο πλαίσιο του Β' κύκλου της Δράσης, επί ποινή απόρριψης της υποβληθείσας αίτησης χρηματοδότησης στο Β' κύκλο της Δράσης.</w:t>
                  </w:r>
                </w:p>
                <w:p w:rsidR="00CB1354" w:rsidRDefault="00CB1354" w:rsidP="00152C7B">
                  <w:pPr>
                    <w:pStyle w:val="4"/>
                    <w:jc w:val="both"/>
                  </w:pPr>
                  <w:r>
                    <w:t>Είδος ενίσχυσης</w:t>
                  </w:r>
                </w:p>
                <w:p w:rsidR="00CB1354" w:rsidRDefault="00713023" w:rsidP="00152C7B">
                  <w:pPr>
                    <w:pStyle w:val="Web"/>
                    <w:jc w:val="both"/>
                  </w:pPr>
                  <w:hyperlink r:id="rId6" w:history="1">
                    <w:r w:rsidR="00CB1354">
                      <w:rPr>
                        <w:rStyle w:val="-"/>
                        <w:rFonts w:eastAsiaTheme="majorEastAsia"/>
                      </w:rPr>
                      <w:t>Επιχορήγηση / Επιδότηση</w:t>
                    </w:r>
                  </w:hyperlink>
                </w:p>
                <w:p w:rsidR="00CB1354" w:rsidRDefault="00CB1354" w:rsidP="00152C7B">
                  <w:pPr>
                    <w:pStyle w:val="4"/>
                    <w:jc w:val="both"/>
                  </w:pPr>
                  <w:r>
                    <w:t>Περιοχή εφαρμογής</w:t>
                  </w:r>
                </w:p>
                <w:p w:rsidR="00CB1354" w:rsidRDefault="00CB1354" w:rsidP="00152C7B">
                  <w:pPr>
                    <w:pStyle w:val="Web"/>
                    <w:jc w:val="both"/>
                  </w:pPr>
                  <w:r>
                    <w:t>Όλη η Ελλάδα</w:t>
                  </w:r>
                </w:p>
                <w:p w:rsidR="00CB1354" w:rsidRDefault="00CB1354" w:rsidP="00152C7B">
                  <w:pPr>
                    <w:pStyle w:val="4"/>
                    <w:jc w:val="both"/>
                  </w:pPr>
                  <w:r>
                    <w:t>Όροι και προϋποθέσεις</w:t>
                  </w:r>
                </w:p>
                <w:p w:rsidR="00CB1354" w:rsidRDefault="00CB1354" w:rsidP="00152C7B">
                  <w:pPr>
                    <w:jc w:val="both"/>
                  </w:pPr>
                  <w:proofErr w:type="spellStart"/>
                  <w:r>
                    <w:t>I.Εισοδηματικά</w:t>
                  </w:r>
                  <w:proofErr w:type="spellEnd"/>
                  <w:r>
                    <w:t xml:space="preserve"> </w:t>
                  </w:r>
                  <w:proofErr w:type="spellStart"/>
                  <w:r>
                    <w:t>κριτήριαΓια</w:t>
                  </w:r>
                  <w:proofErr w:type="spellEnd"/>
                  <w:r>
                    <w:t xml:space="preserve"> τους  ενδιαφερόμενους που θα υποβάλλουν αίτηση με την ιδιότητα του ανέργου ... </w:t>
                  </w:r>
                  <w:r>
                    <w:rPr>
                      <w:noProof/>
                      <w:color w:val="0000FF"/>
                      <w:lang w:eastAsia="el-GR"/>
                    </w:rPr>
                    <w:drawing>
                      <wp:inline distT="0" distB="0" distL="0" distR="0">
                        <wp:extent cx="180975" cy="180975"/>
                        <wp:effectExtent l="19050" t="0" r="9525" b="0"/>
                        <wp:docPr id="5" name="Εικόνα 5" descr="https://www.espa.gr/Style%20Library/Images/icon-expand.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espa.gr/Style%20Library/Images/icon-expand.jpg">
                                  <a:hlinkClick r:id="rId7"/>
                                </pic:cNvPr>
                                <pic:cNvPicPr>
                                  <a:picLocks noChangeAspect="1" noChangeArrowheads="1"/>
                                </pic:cNvPicPr>
                              </pic:nvPicPr>
                              <pic:blipFill>
                                <a:blip r:embed="rId8"/>
                                <a:srcRect/>
                                <a:stretch>
                                  <a:fillRect/>
                                </a:stretch>
                              </pic:blipFill>
                              <pic:spPr bwMode="auto">
                                <a:xfrm>
                                  <a:off x="0" y="0"/>
                                  <a:ext cx="180975" cy="180975"/>
                                </a:xfrm>
                                <a:prstGeom prst="rect">
                                  <a:avLst/>
                                </a:prstGeom>
                                <a:noFill/>
                                <a:ln w="9525">
                                  <a:noFill/>
                                  <a:miter lim="800000"/>
                                  <a:headEnd/>
                                  <a:tailEnd/>
                                </a:ln>
                              </pic:spPr>
                            </pic:pic>
                          </a:graphicData>
                        </a:graphic>
                      </wp:inline>
                    </w:drawing>
                  </w:r>
                </w:p>
                <w:p w:rsidR="00CB1354" w:rsidRDefault="00CB1354" w:rsidP="00152C7B">
                  <w:pPr>
                    <w:pStyle w:val="4"/>
                    <w:jc w:val="both"/>
                  </w:pPr>
                  <w:r>
                    <w:t>Τι χρηματοδοτείται</w:t>
                  </w:r>
                </w:p>
                <w:p w:rsidR="00CB1354" w:rsidRDefault="00CB1354" w:rsidP="00152C7B">
                  <w:pPr>
                    <w:pStyle w:val="Web"/>
                    <w:jc w:val="both"/>
                  </w:pPr>
                  <w:r>
                    <w:t>Κατηγορίες ενέργειας/ δαπάνης και μέγιστο επιλέξιμο ποσοστό/ποσό στον επιχορηγούμενο προϋπολογισμό του επιχειρηματικού σχεδίου:</w:t>
                  </w:r>
                </w:p>
                <w:p w:rsidR="00CB1354" w:rsidRDefault="00CB1354" w:rsidP="00152C7B">
                  <w:pPr>
                    <w:pStyle w:val="Web"/>
                    <w:jc w:val="both"/>
                  </w:pPr>
                  <w:r>
                    <w:rPr>
                      <w:rStyle w:val="a3"/>
                    </w:rPr>
                    <w:t>Λειτουργικά</w:t>
                  </w:r>
                  <w:r>
                    <w:t xml:space="preserve"> (όπως ενοίκια επαγγελματικού χώρου, δαπάνες ηλεκτρισμού, σταθερής και κινητής επαγγελματικής τηλεφωνίας, ύδρευσης, θέρμανσης, λοιπές κοινόχρηστες δαπάνες, δαπάνες φιλοξενίας σε θερμοκοιτίδες): </w:t>
                  </w:r>
                  <w:r>
                    <w:rPr>
                      <w:rStyle w:val="a3"/>
                    </w:rPr>
                    <w:t>60%</w:t>
                  </w:r>
                </w:p>
                <w:p w:rsidR="00CB1354" w:rsidRDefault="00CB1354" w:rsidP="00152C7B">
                  <w:pPr>
                    <w:pStyle w:val="Web"/>
                    <w:jc w:val="both"/>
                  </w:pPr>
                  <w:r>
                    <w:rPr>
                      <w:rStyle w:val="a3"/>
                    </w:rPr>
                    <w:t>Δαπάνες για αμοιβές τρίτων</w:t>
                  </w:r>
                  <w:r>
                    <w:t xml:space="preserve"> (όπως νομική, συμβουλευτική, λογιστική υποστήριξη, σύνταξη και παρακολούθηση επιχειρηματικού σχεδίου, υπηρεσίες θερμοκοιτίδας, εξειδικευμένα σεμινάρια επαγγελματικής κατάρτισης): </w:t>
                  </w:r>
                  <w:r>
                    <w:rPr>
                      <w:rStyle w:val="a3"/>
                    </w:rPr>
                    <w:t>20%</w:t>
                  </w:r>
                </w:p>
                <w:p w:rsidR="00CB1354" w:rsidRDefault="00CB1354" w:rsidP="00152C7B">
                  <w:pPr>
                    <w:pStyle w:val="Web"/>
                    <w:jc w:val="both"/>
                  </w:pPr>
                  <w:r>
                    <w:rPr>
                      <w:rStyle w:val="a3"/>
                    </w:rPr>
                    <w:t>Δαπάνες προβολής, δικτύωσης και συμμετοχής σε εκθέσεις</w:t>
                  </w:r>
                  <w:r>
                    <w:t xml:space="preserve"> (όπως σχεδιασμός και παραγωγή εταιρικής ταυτότητας, έξοδα συμμετοχής σε επαγγελματικές εκθέσεις, σχεδιασμός και κατασκευή εταιρικής ιστοσελίδας): </w:t>
                  </w:r>
                  <w:r>
                    <w:rPr>
                      <w:rStyle w:val="a3"/>
                    </w:rPr>
                    <w:t>10%</w:t>
                  </w:r>
                </w:p>
                <w:p w:rsidR="00CB1354" w:rsidRDefault="00CB1354" w:rsidP="00152C7B">
                  <w:pPr>
                    <w:pStyle w:val="Web"/>
                    <w:jc w:val="both"/>
                  </w:pPr>
                  <w:r>
                    <w:rPr>
                      <w:rStyle w:val="a3"/>
                    </w:rPr>
                    <w:t>Προμήθεια αναλωσίμων</w:t>
                  </w:r>
                  <w:r>
                    <w:t xml:space="preserve"> (όπως δαπάνες προμήθειας αναλώσιμων υλικών σε άμεση σχέση με τη λειτουργία της επιχείρησης, δαπάνες προμήθειας πρώτων υλών και ενδιάμεσων προϊόντων για επιχειρήσεις με μεταποιητική δραστηριότητα): </w:t>
                  </w:r>
                  <w:r>
                    <w:rPr>
                      <w:rStyle w:val="a3"/>
                    </w:rPr>
                    <w:t>15%</w:t>
                  </w:r>
                </w:p>
                <w:p w:rsidR="00CB1354" w:rsidRDefault="00CB1354" w:rsidP="00152C7B">
                  <w:pPr>
                    <w:pStyle w:val="Web"/>
                    <w:jc w:val="both"/>
                  </w:pPr>
                  <w:r>
                    <w:rPr>
                      <w:rStyle w:val="a3"/>
                    </w:rPr>
                    <w:t>Ασφαλιστικές εισφορές δικαιούχου (επιχειρηματία/</w:t>
                  </w:r>
                  <w:proofErr w:type="spellStart"/>
                  <w:r>
                    <w:rPr>
                      <w:rStyle w:val="a3"/>
                    </w:rPr>
                    <w:t>εταίρω</w:t>
                  </w:r>
                  <w:proofErr w:type="spellEnd"/>
                  <w:r>
                    <w:rPr>
                      <w:rStyle w:val="a3"/>
                    </w:rPr>
                    <w:t>ν):</w:t>
                  </w:r>
                  <w:r>
                    <w:t xml:space="preserve"> </w:t>
                  </w:r>
                  <w:r>
                    <w:rPr>
                      <w:rStyle w:val="a3"/>
                    </w:rPr>
                    <w:t>30%</w:t>
                  </w:r>
                </w:p>
                <w:p w:rsidR="00CB1354" w:rsidRDefault="00CB1354" w:rsidP="00152C7B">
                  <w:pPr>
                    <w:pStyle w:val="Web"/>
                    <w:jc w:val="both"/>
                  </w:pPr>
                  <w:r>
                    <w:rPr>
                      <w:rStyle w:val="a3"/>
                    </w:rPr>
                    <w:t>Μισθολογικό κόστος για νέα/ες θέση/εις εργασίας:</w:t>
                  </w:r>
                  <w:r>
                    <w:t xml:space="preserve"> 12.000€</w:t>
                  </w:r>
                </w:p>
                <w:p w:rsidR="00CB1354" w:rsidRDefault="00CB1354" w:rsidP="00152C7B">
                  <w:pPr>
                    <w:pStyle w:val="Web"/>
                    <w:jc w:val="both"/>
                  </w:pPr>
                  <w:r>
                    <w:rPr>
                      <w:rStyle w:val="a3"/>
                    </w:rPr>
                    <w:t>Αποσβέσεις παγίων / Χρηματοδοτική μίσθωση εξοπλισμού</w:t>
                  </w:r>
                  <w:r>
                    <w:t xml:space="preserve">: </w:t>
                  </w:r>
                  <w:r>
                    <w:rPr>
                      <w:rStyle w:val="a3"/>
                    </w:rPr>
                    <w:t>20%</w:t>
                  </w:r>
                  <w:r>
                    <w:t xml:space="preserve"> ΕΚΤ χωρίς χρήση ρήτρας ευελιξίας</w:t>
                  </w:r>
                </w:p>
                <w:p w:rsidR="00CB1354" w:rsidRDefault="00CB1354" w:rsidP="00152C7B">
                  <w:pPr>
                    <w:pStyle w:val="Web"/>
                    <w:jc w:val="both"/>
                  </w:pPr>
                  <w:r>
                    <w:rPr>
                      <w:rStyle w:val="a3"/>
                    </w:rPr>
                    <w:t xml:space="preserve">Αγορά / Χρηματοδοτική μίσθωση εξοπλισμού  / Διαμόρφωση εσωτερικού χώρου </w:t>
                  </w:r>
                  <w:r>
                    <w:rPr>
                      <w:rStyle w:val="a3"/>
                    </w:rPr>
                    <w:lastRenderedPageBreak/>
                    <w:t>μικρής κλίμακας</w:t>
                  </w:r>
                  <w:r>
                    <w:t xml:space="preserve">: </w:t>
                  </w:r>
                  <w:r>
                    <w:rPr>
                      <w:rStyle w:val="a3"/>
                    </w:rPr>
                    <w:t>40%</w:t>
                  </w:r>
                  <w:r>
                    <w:t xml:space="preserve"> με χρήση ρήτρας ευελιξίας</w:t>
                  </w:r>
                </w:p>
                <w:p w:rsidR="00CB1354" w:rsidRDefault="00CB1354" w:rsidP="00152C7B">
                  <w:pPr>
                    <w:pStyle w:val="Web"/>
                    <w:jc w:val="both"/>
                  </w:pPr>
                  <w:r>
                    <w:t>Επιλέξιμες είναι οι δαπάνες από την ημερομηνία έκδοσης της Απόφασης Προσωρινού Καταλόγου Δυνητικών Δικαιούχων έως 24 μήνες από την ημερομηνία ένταξής τους.</w:t>
                  </w:r>
                </w:p>
                <w:p w:rsidR="00CB1354" w:rsidRDefault="00CB1354" w:rsidP="00152C7B">
                  <w:pPr>
                    <w:pStyle w:val="4"/>
                    <w:jc w:val="both"/>
                  </w:pPr>
                  <w:r>
                    <w:t>Προϋπολογισμός</w:t>
                  </w:r>
                </w:p>
                <w:p w:rsidR="00CB1354" w:rsidRDefault="00CB1354" w:rsidP="00152C7B">
                  <w:pPr>
                    <w:pStyle w:val="Web"/>
                    <w:jc w:val="both"/>
                  </w:pPr>
                  <w:r>
                    <w:t>€ 80.000.000</w:t>
                  </w:r>
                </w:p>
                <w:p w:rsidR="00CB1354" w:rsidRDefault="00CB1354" w:rsidP="00152C7B">
                  <w:pPr>
                    <w:pStyle w:val="Web"/>
                    <w:jc w:val="both"/>
                  </w:pPr>
                  <w:r>
                    <w:t>Αναλυτικά:</w:t>
                  </w:r>
                </w:p>
                <w:p w:rsidR="00CB1354" w:rsidRDefault="00CB1354" w:rsidP="00152C7B">
                  <w:pPr>
                    <w:numPr>
                      <w:ilvl w:val="0"/>
                      <w:numId w:val="4"/>
                    </w:numPr>
                    <w:spacing w:before="100" w:beforeAutospacing="1" w:after="100" w:afterAutospacing="1" w:line="240" w:lineRule="auto"/>
                    <w:jc w:val="both"/>
                  </w:pPr>
                  <w:r>
                    <w:t>Ανατολική Μακεδονία και Θράκη, Κεντρική Μακεδονία, Ήπειρος, Θεσσαλία, Δυτική Ελλάδα: 48.200.000 €</w:t>
                  </w:r>
                </w:p>
                <w:p w:rsidR="00CB1354" w:rsidRDefault="00CB1354" w:rsidP="00152C7B">
                  <w:pPr>
                    <w:numPr>
                      <w:ilvl w:val="0"/>
                      <w:numId w:val="4"/>
                    </w:numPr>
                    <w:spacing w:before="100" w:beforeAutospacing="1" w:after="100" w:afterAutospacing="1" w:line="240" w:lineRule="auto"/>
                    <w:jc w:val="both"/>
                  </w:pPr>
                  <w:r>
                    <w:t>Δυτική Μακεδονία, Ιόνια Νησιά, Πελοπόννησος, Βόρειο Αιγαίο, Κρήτη: 14.200.000 € </w:t>
                  </w:r>
                </w:p>
                <w:p w:rsidR="00CB1354" w:rsidRDefault="00CB1354" w:rsidP="00152C7B">
                  <w:pPr>
                    <w:numPr>
                      <w:ilvl w:val="0"/>
                      <w:numId w:val="4"/>
                    </w:numPr>
                    <w:spacing w:before="100" w:beforeAutospacing="1" w:after="100" w:afterAutospacing="1" w:line="240" w:lineRule="auto"/>
                    <w:jc w:val="both"/>
                  </w:pPr>
                  <w:r>
                    <w:t>Αττική: 12.300.000 € </w:t>
                  </w:r>
                </w:p>
                <w:p w:rsidR="00CB1354" w:rsidRDefault="00CB1354" w:rsidP="00152C7B">
                  <w:pPr>
                    <w:numPr>
                      <w:ilvl w:val="0"/>
                      <w:numId w:val="4"/>
                    </w:numPr>
                    <w:spacing w:before="100" w:beforeAutospacing="1" w:after="100" w:afterAutospacing="1" w:line="240" w:lineRule="auto"/>
                    <w:jc w:val="both"/>
                  </w:pPr>
                  <w:r>
                    <w:t>Στερεά Ελλάδα: 3.100.000 € </w:t>
                  </w:r>
                </w:p>
                <w:p w:rsidR="00CB1354" w:rsidRDefault="00CB1354" w:rsidP="00152C7B">
                  <w:pPr>
                    <w:numPr>
                      <w:ilvl w:val="0"/>
                      <w:numId w:val="4"/>
                    </w:numPr>
                    <w:spacing w:before="100" w:beforeAutospacing="1" w:after="100" w:afterAutospacing="1" w:line="240" w:lineRule="auto"/>
                    <w:jc w:val="both"/>
                  </w:pPr>
                  <w:r>
                    <w:t>Νότιο Αιγαίο: 2.200.000 €</w:t>
                  </w:r>
                </w:p>
                <w:p w:rsidR="00510EBD" w:rsidRDefault="00510EBD" w:rsidP="00510EBD">
                  <w:r>
                    <w:rPr>
                      <w:rFonts w:ascii="Verdana" w:eastAsia="Times New Roman" w:hAnsi="Verdana" w:cs="Times New Roman"/>
                      <w:sz w:val="20"/>
                      <w:szCs w:val="20"/>
                      <w:lang w:eastAsia="el-GR"/>
                    </w:rPr>
                    <w:t>Επιπλέον</w:t>
                  </w:r>
                  <w:r w:rsidRPr="00F243EE">
                    <w:rPr>
                      <w:rFonts w:ascii="Verdana" w:eastAsia="Times New Roman" w:hAnsi="Verdana" w:cs="Times New Roman"/>
                      <w:sz w:val="20"/>
                      <w:szCs w:val="20"/>
                      <w:lang w:eastAsia="el-GR"/>
                    </w:rPr>
                    <w:t xml:space="preserve"> </w:t>
                  </w:r>
                  <w:r w:rsidRPr="00DA49DF">
                    <w:rPr>
                      <w:rFonts w:ascii="Verdana" w:eastAsia="Times New Roman" w:hAnsi="Verdana" w:cs="Times New Roman"/>
                      <w:sz w:val="20"/>
                      <w:szCs w:val="20"/>
                      <w:lang w:eastAsia="el-GR"/>
                    </w:rPr>
                    <w:t xml:space="preserve">πληροφορίες στην ιστοσελίδα του ΕΣΠΑ: </w:t>
                  </w:r>
                  <w:hyperlink r:id="rId9" w:history="1">
                    <w:r w:rsidRPr="00DA49DF">
                      <w:rPr>
                        <w:rFonts w:ascii="Verdana" w:eastAsia="Times New Roman" w:hAnsi="Verdana" w:cs="Times New Roman"/>
                        <w:color w:val="0000FF"/>
                        <w:sz w:val="20"/>
                        <w:u w:val="single"/>
                        <w:lang w:eastAsia="el-GR"/>
                      </w:rPr>
                      <w:t>https://www.espa.gr/el/Pages/ProclamationsFS.aspx?item=3439</w:t>
                    </w:r>
                  </w:hyperlink>
                </w:p>
                <w:p w:rsidR="00510EBD" w:rsidRDefault="00510EBD" w:rsidP="00510EBD">
                  <w:pPr>
                    <w:spacing w:before="100" w:beforeAutospacing="1" w:after="100" w:afterAutospacing="1" w:line="240" w:lineRule="auto"/>
                    <w:jc w:val="both"/>
                  </w:pPr>
                </w:p>
                <w:p w:rsidR="00CB1354" w:rsidRDefault="00CB1354" w:rsidP="00152C7B">
                  <w:pPr>
                    <w:pStyle w:val="3"/>
                    <w:jc w:val="both"/>
                  </w:pPr>
                </w:p>
              </w:tc>
            </w:tr>
            <w:tr w:rsidR="00510EBD" w:rsidTr="00152C7B">
              <w:trPr>
                <w:trHeight w:val="2694"/>
                <w:tblCellSpacing w:w="0" w:type="dxa"/>
              </w:trPr>
              <w:tc>
                <w:tcPr>
                  <w:tcW w:w="0" w:type="auto"/>
                </w:tcPr>
                <w:p w:rsidR="00510EBD" w:rsidRDefault="00510EBD" w:rsidP="00152C7B">
                  <w:pPr>
                    <w:jc w:val="both"/>
                  </w:pPr>
                </w:p>
              </w:tc>
            </w:tr>
          </w:tbl>
          <w:p w:rsidR="00CB1354" w:rsidRDefault="00CB1354" w:rsidP="00152C7B">
            <w:pPr>
              <w:jc w:val="both"/>
              <w:rPr>
                <w:sz w:val="24"/>
                <w:szCs w:val="24"/>
              </w:rPr>
            </w:pPr>
          </w:p>
        </w:tc>
      </w:tr>
    </w:tbl>
    <w:p w:rsidR="00776372" w:rsidRDefault="00776372" w:rsidP="00510EBD">
      <w:pPr>
        <w:jc w:val="both"/>
      </w:pPr>
    </w:p>
    <w:sectPr w:rsidR="00776372" w:rsidSect="00152C7B">
      <w:pgSz w:w="11906" w:h="16838"/>
      <w:pgMar w:top="1077" w:right="1361" w:bottom="1077" w:left="136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0D2FB5"/>
    <w:multiLevelType w:val="multilevel"/>
    <w:tmpl w:val="EDCA0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5B681B"/>
    <w:multiLevelType w:val="multilevel"/>
    <w:tmpl w:val="57FA8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455B05"/>
    <w:multiLevelType w:val="multilevel"/>
    <w:tmpl w:val="2140D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81C3487"/>
    <w:multiLevelType w:val="multilevel"/>
    <w:tmpl w:val="CDC49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B1354"/>
    <w:rsid w:val="00137C21"/>
    <w:rsid w:val="00152C7B"/>
    <w:rsid w:val="001C79AC"/>
    <w:rsid w:val="00207C58"/>
    <w:rsid w:val="00510EBD"/>
    <w:rsid w:val="00697C85"/>
    <w:rsid w:val="00713023"/>
    <w:rsid w:val="00776372"/>
    <w:rsid w:val="00CB1354"/>
    <w:rsid w:val="00F243E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354"/>
  </w:style>
  <w:style w:type="paragraph" w:styleId="2">
    <w:name w:val="heading 2"/>
    <w:basedOn w:val="a"/>
    <w:link w:val="2Char"/>
    <w:uiPriority w:val="9"/>
    <w:qFormat/>
    <w:rsid w:val="00CB1354"/>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next w:val="a"/>
    <w:link w:val="3Char"/>
    <w:uiPriority w:val="9"/>
    <w:unhideWhenUsed/>
    <w:qFormat/>
    <w:rsid w:val="00CB135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CB135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CB1354"/>
    <w:rPr>
      <w:rFonts w:ascii="Times New Roman" w:eastAsia="Times New Roman" w:hAnsi="Times New Roman" w:cs="Times New Roman"/>
      <w:b/>
      <w:bCs/>
      <w:sz w:val="36"/>
      <w:szCs w:val="36"/>
      <w:lang w:eastAsia="el-GR"/>
    </w:rPr>
  </w:style>
  <w:style w:type="character" w:customStyle="1" w:styleId="3Char">
    <w:name w:val="Επικεφαλίδα 3 Char"/>
    <w:basedOn w:val="a0"/>
    <w:link w:val="3"/>
    <w:uiPriority w:val="9"/>
    <w:rsid w:val="00CB1354"/>
    <w:rPr>
      <w:rFonts w:asciiTheme="majorHAnsi" w:eastAsiaTheme="majorEastAsia" w:hAnsiTheme="majorHAnsi" w:cstheme="majorBidi"/>
      <w:b/>
      <w:bCs/>
      <w:color w:val="4F81BD" w:themeColor="accent1"/>
    </w:rPr>
  </w:style>
  <w:style w:type="character" w:customStyle="1" w:styleId="4Char">
    <w:name w:val="Επικεφαλίδα 4 Char"/>
    <w:basedOn w:val="a0"/>
    <w:link w:val="4"/>
    <w:uiPriority w:val="9"/>
    <w:semiHidden/>
    <w:rsid w:val="00CB1354"/>
    <w:rPr>
      <w:rFonts w:asciiTheme="majorHAnsi" w:eastAsiaTheme="majorEastAsia" w:hAnsiTheme="majorHAnsi" w:cstheme="majorBidi"/>
      <w:b/>
      <w:bCs/>
      <w:i/>
      <w:iCs/>
      <w:color w:val="4F81BD" w:themeColor="accent1"/>
    </w:rPr>
  </w:style>
  <w:style w:type="character" w:styleId="-">
    <w:name w:val="Hyperlink"/>
    <w:basedOn w:val="a0"/>
    <w:uiPriority w:val="99"/>
    <w:semiHidden/>
    <w:unhideWhenUsed/>
    <w:rsid w:val="00CB1354"/>
    <w:rPr>
      <w:color w:val="0000FF"/>
      <w:u w:val="single"/>
    </w:rPr>
  </w:style>
  <w:style w:type="paragraph" w:styleId="Web">
    <w:name w:val="Normal (Web)"/>
    <w:basedOn w:val="a"/>
    <w:uiPriority w:val="99"/>
    <w:unhideWhenUsed/>
    <w:rsid w:val="00CB135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CB1354"/>
    <w:rPr>
      <w:b/>
      <w:bCs/>
    </w:rPr>
  </w:style>
  <w:style w:type="character" w:customStyle="1" w:styleId="addthistoolbox">
    <w:name w:val="addthis_toolbox"/>
    <w:basedOn w:val="a0"/>
    <w:rsid w:val="00CB1354"/>
  </w:style>
  <w:style w:type="character" w:customStyle="1" w:styleId="at4-icon-left">
    <w:name w:val="at4-icon-left"/>
    <w:basedOn w:val="a0"/>
    <w:rsid w:val="00CB1354"/>
  </w:style>
  <w:style w:type="paragraph" w:styleId="a4">
    <w:name w:val="Balloon Text"/>
    <w:basedOn w:val="a"/>
    <w:link w:val="Char"/>
    <w:uiPriority w:val="99"/>
    <w:semiHidden/>
    <w:unhideWhenUsed/>
    <w:rsid w:val="00CB1354"/>
    <w:pPr>
      <w:spacing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CB13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espa.gr/el/Pages/ProclamationsFS.aspx?item=343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spa.gr/el/Pages/Proclamations.aspx?fs=True&amp;country=True&amp;aid=%CE%95%CF%80%CE%B9%CF%87%CE%BF%CF%81%CE%AE%CE%B3%CE%B7%CF%83%CE%B7%20%2F%20%CE%95%CF%80%CE%B9%CE%B4%CF%8C%CF%84%CE%B7%CF%83%CE%B7" TargetMode="External"/><Relationship Id="rId11" Type="http://schemas.openxmlformats.org/officeDocument/2006/relationships/theme" Target="theme/theme1.xml"/><Relationship Id="rId5" Type="http://schemas.openxmlformats.org/officeDocument/2006/relationships/hyperlink" Target="http://www.ependyseis.gr/mi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spa.gr/el/Pages/ProclamationsFS.aspx?item=3439"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766</Words>
  <Characters>4138</Characters>
  <Application>Microsoft Office Word</Application>
  <DocSecurity>0</DocSecurity>
  <Lines>34</Lines>
  <Paragraphs>9</Paragraphs>
  <ScaleCrop>false</ScaleCrop>
  <Company/>
  <LinksUpToDate>false</LinksUpToDate>
  <CharactersWithSpaces>4895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2017-07-19T07:57:00Z</dcterms:created>
  <dcterms:modified xsi:type="dcterms:W3CDTF">2017-07-19T10:37:00Z</dcterms:modified>
</cp:coreProperties>
</file>