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A32E6B" w:rsidRDefault="00E84FC3" w:rsidP="00E84FC3">
      <w:pPr>
        <w:rPr>
          <w:rFonts w:asciiTheme="majorHAnsi" w:hAnsiTheme="majorHAnsi"/>
          <w:sz w:val="28"/>
          <w:szCs w:val="28"/>
        </w:rPr>
      </w:pPr>
      <w:r w:rsidRPr="00A32E6B">
        <w:rPr>
          <w:rFonts w:asciiTheme="majorHAnsi" w:hAnsiTheme="majorHAnsi"/>
          <w:sz w:val="28"/>
          <w:szCs w:val="28"/>
        </w:rPr>
        <w:t xml:space="preserve">                                                      </w:t>
      </w:r>
      <w:r w:rsidR="006E33B0" w:rsidRPr="00A32E6B">
        <w:rPr>
          <w:rFonts w:asciiTheme="majorHAnsi" w:hAnsiTheme="majorHAnsi"/>
          <w:sz w:val="28"/>
          <w:szCs w:val="28"/>
        </w:rPr>
        <w:t xml:space="preserve">                        </w:t>
      </w:r>
      <w:r w:rsidR="00C519F2" w:rsidRPr="00A32E6B">
        <w:rPr>
          <w:rFonts w:asciiTheme="majorHAnsi" w:hAnsiTheme="majorHAnsi"/>
          <w:sz w:val="28"/>
          <w:szCs w:val="28"/>
        </w:rPr>
        <w:t xml:space="preserve">Πύργος </w:t>
      </w:r>
      <w:r w:rsidR="00C90C7A" w:rsidRPr="00A32E6B">
        <w:rPr>
          <w:rFonts w:asciiTheme="majorHAnsi" w:hAnsiTheme="majorHAnsi"/>
          <w:sz w:val="28"/>
          <w:szCs w:val="28"/>
        </w:rPr>
        <w:t xml:space="preserve"> </w:t>
      </w:r>
      <w:r w:rsidR="00ED1507" w:rsidRPr="00A32E6B">
        <w:rPr>
          <w:rFonts w:asciiTheme="majorHAnsi" w:hAnsiTheme="majorHAnsi"/>
          <w:sz w:val="28"/>
          <w:szCs w:val="28"/>
        </w:rPr>
        <w:t xml:space="preserve"> </w:t>
      </w:r>
      <w:r w:rsidR="004D6E37" w:rsidRPr="00A32E6B">
        <w:rPr>
          <w:rFonts w:asciiTheme="majorHAnsi" w:hAnsiTheme="majorHAnsi"/>
          <w:sz w:val="28"/>
          <w:szCs w:val="28"/>
        </w:rPr>
        <w:t xml:space="preserve"> </w:t>
      </w:r>
      <w:r w:rsidR="002C284E" w:rsidRPr="00A32E6B">
        <w:rPr>
          <w:rFonts w:asciiTheme="majorHAnsi" w:hAnsiTheme="majorHAnsi"/>
          <w:sz w:val="28"/>
          <w:szCs w:val="28"/>
        </w:rPr>
        <w:t xml:space="preserve"> </w:t>
      </w:r>
      <w:r w:rsidR="00061694" w:rsidRPr="00A32E6B">
        <w:rPr>
          <w:rFonts w:asciiTheme="majorHAnsi" w:hAnsiTheme="majorHAnsi"/>
          <w:sz w:val="28"/>
          <w:szCs w:val="28"/>
        </w:rPr>
        <w:t>18-11</w:t>
      </w:r>
      <w:r w:rsidR="00C519F2" w:rsidRPr="00A32E6B">
        <w:rPr>
          <w:rFonts w:asciiTheme="majorHAnsi" w:hAnsiTheme="majorHAnsi"/>
          <w:sz w:val="28"/>
          <w:szCs w:val="28"/>
        </w:rPr>
        <w:t>-201</w:t>
      </w:r>
      <w:r w:rsidR="00A11C70" w:rsidRPr="00A32E6B">
        <w:rPr>
          <w:rFonts w:asciiTheme="majorHAnsi" w:hAnsiTheme="majorHAnsi"/>
          <w:sz w:val="28"/>
          <w:szCs w:val="28"/>
        </w:rPr>
        <w:t>6</w:t>
      </w:r>
    </w:p>
    <w:p w:rsidR="00940560" w:rsidRPr="00A32E6B" w:rsidRDefault="00A32E6B" w:rsidP="00FB354B">
      <w:pPr>
        <w:ind w:left="2160" w:firstLine="720"/>
        <w:rPr>
          <w:rFonts w:asciiTheme="majorHAnsi" w:hAnsiTheme="majorHAnsi"/>
          <w:sz w:val="28"/>
          <w:szCs w:val="28"/>
        </w:rPr>
      </w:pPr>
      <w:r w:rsidRPr="00A32E6B">
        <w:rPr>
          <w:rFonts w:asciiTheme="majorHAnsi" w:hAnsiTheme="majorHAnsi"/>
          <w:sz w:val="28"/>
          <w:szCs w:val="28"/>
        </w:rPr>
        <w:tab/>
        <w:t xml:space="preserve">         </w:t>
      </w:r>
      <w:r>
        <w:rPr>
          <w:rFonts w:asciiTheme="majorHAnsi" w:hAnsiTheme="majorHAnsi"/>
          <w:sz w:val="28"/>
          <w:szCs w:val="28"/>
        </w:rPr>
        <w:t xml:space="preserve">         </w:t>
      </w:r>
      <w:r w:rsidRPr="00A32E6B">
        <w:rPr>
          <w:rFonts w:asciiTheme="majorHAnsi" w:hAnsiTheme="majorHAnsi"/>
          <w:sz w:val="28"/>
          <w:szCs w:val="28"/>
        </w:rPr>
        <w:t xml:space="preserve"> </w:t>
      </w:r>
      <w:r w:rsidR="00C519F2" w:rsidRPr="00A32E6B">
        <w:rPr>
          <w:rFonts w:asciiTheme="majorHAnsi" w:hAnsiTheme="majorHAnsi"/>
          <w:sz w:val="28"/>
          <w:szCs w:val="28"/>
        </w:rPr>
        <w:t>Α.Π.:</w:t>
      </w:r>
      <w:r w:rsidR="00A11C70" w:rsidRPr="00A32E6B">
        <w:rPr>
          <w:rFonts w:asciiTheme="majorHAnsi" w:hAnsiTheme="majorHAnsi"/>
          <w:sz w:val="28"/>
          <w:szCs w:val="28"/>
        </w:rPr>
        <w:t xml:space="preserve"> </w:t>
      </w:r>
      <w:r w:rsidR="00691AC9">
        <w:rPr>
          <w:rFonts w:asciiTheme="majorHAnsi" w:hAnsiTheme="majorHAnsi"/>
          <w:sz w:val="28"/>
          <w:szCs w:val="28"/>
        </w:rPr>
        <w:t xml:space="preserve"> 1270</w:t>
      </w:r>
    </w:p>
    <w:p w:rsidR="00925811" w:rsidRPr="00A32E6B" w:rsidRDefault="00925811" w:rsidP="0033583D">
      <w:pPr>
        <w:rPr>
          <w:rFonts w:asciiTheme="majorHAnsi" w:hAnsiTheme="majorHAnsi"/>
          <w:sz w:val="24"/>
          <w:szCs w:val="24"/>
        </w:rPr>
      </w:pPr>
    </w:p>
    <w:p w:rsidR="00563010" w:rsidRDefault="00563010" w:rsidP="0033583D">
      <w:pPr>
        <w:rPr>
          <w:rFonts w:asciiTheme="majorHAnsi" w:hAnsiTheme="majorHAnsi"/>
          <w:sz w:val="26"/>
          <w:szCs w:val="26"/>
        </w:rPr>
      </w:pPr>
    </w:p>
    <w:p w:rsidR="00563010" w:rsidRPr="003400FB" w:rsidRDefault="00156053" w:rsidP="00563010">
      <w:pPr>
        <w:jc w:val="center"/>
        <w:rPr>
          <w:rFonts w:asciiTheme="majorHAnsi" w:hAnsiTheme="majorHAnsi"/>
          <w:b/>
          <w:sz w:val="36"/>
          <w:szCs w:val="36"/>
        </w:rPr>
      </w:pPr>
      <w:r w:rsidRPr="003400FB">
        <w:rPr>
          <w:rFonts w:asciiTheme="majorHAnsi" w:hAnsiTheme="majorHAnsi"/>
          <w:b/>
          <w:sz w:val="36"/>
          <w:szCs w:val="36"/>
        </w:rPr>
        <w:t>ΔΕΛΤΙΟ   ΤΥΠΟΥ</w:t>
      </w:r>
    </w:p>
    <w:p w:rsidR="003400FB" w:rsidRDefault="00B70F31" w:rsidP="00563010">
      <w:pPr>
        <w:jc w:val="center"/>
        <w:rPr>
          <w:rFonts w:asciiTheme="majorHAnsi" w:hAnsiTheme="majorHAnsi"/>
          <w:b/>
          <w:sz w:val="32"/>
          <w:szCs w:val="32"/>
        </w:rPr>
      </w:pPr>
      <w:r>
        <w:rPr>
          <w:rFonts w:asciiTheme="majorHAnsi" w:hAnsiTheme="majorHAnsi"/>
          <w:b/>
          <w:sz w:val="32"/>
          <w:szCs w:val="32"/>
        </w:rPr>
        <w:t>ΣΧΕΤΙΚΑ ΜΕ ΤΟΥΣ ΝΕΟΥΣ</w:t>
      </w:r>
      <w:r w:rsidR="00691AC9" w:rsidRPr="00691AC9">
        <w:rPr>
          <w:rFonts w:asciiTheme="majorHAnsi" w:hAnsiTheme="majorHAnsi"/>
          <w:b/>
          <w:sz w:val="32"/>
          <w:szCs w:val="32"/>
        </w:rPr>
        <w:t xml:space="preserve">  ΚΑΝΟΝΕΣ</w:t>
      </w:r>
      <w:r w:rsidR="003400FB">
        <w:rPr>
          <w:rFonts w:asciiTheme="majorHAnsi" w:hAnsiTheme="majorHAnsi"/>
          <w:b/>
          <w:sz w:val="32"/>
          <w:szCs w:val="32"/>
        </w:rPr>
        <w:t xml:space="preserve"> </w:t>
      </w:r>
    </w:p>
    <w:p w:rsidR="00691AC9" w:rsidRPr="00691AC9" w:rsidRDefault="003400FB" w:rsidP="00563010">
      <w:pPr>
        <w:jc w:val="center"/>
        <w:rPr>
          <w:rFonts w:asciiTheme="majorHAnsi" w:hAnsiTheme="majorHAnsi"/>
          <w:b/>
          <w:sz w:val="32"/>
          <w:szCs w:val="32"/>
        </w:rPr>
      </w:pPr>
      <w:r>
        <w:rPr>
          <w:rFonts w:asciiTheme="majorHAnsi" w:hAnsiTheme="majorHAnsi"/>
          <w:b/>
          <w:sz w:val="32"/>
          <w:szCs w:val="32"/>
        </w:rPr>
        <w:t xml:space="preserve">ΠΑΡΑΠΟΜΠΗΣ </w:t>
      </w:r>
      <w:r w:rsidR="00B70F31">
        <w:rPr>
          <w:rFonts w:asciiTheme="majorHAnsi" w:hAnsiTheme="majorHAnsi"/>
          <w:b/>
          <w:sz w:val="32"/>
          <w:szCs w:val="32"/>
        </w:rPr>
        <w:t xml:space="preserve">ΕΞΕΤΑΣΕΩΝ </w:t>
      </w:r>
    </w:p>
    <w:p w:rsidR="00563010" w:rsidRPr="00A32E6B" w:rsidRDefault="00563010" w:rsidP="00A32E6B">
      <w:pPr>
        <w:jc w:val="both"/>
        <w:rPr>
          <w:rFonts w:asciiTheme="majorHAnsi" w:hAnsiTheme="majorHAnsi"/>
          <w:b/>
          <w:sz w:val="24"/>
          <w:szCs w:val="24"/>
          <w:u w:val="single"/>
        </w:rPr>
      </w:pPr>
    </w:p>
    <w:p w:rsidR="00A32E6B" w:rsidRPr="00A32E6B" w:rsidRDefault="00D769B4" w:rsidP="00A32E6B">
      <w:pPr>
        <w:jc w:val="both"/>
        <w:rPr>
          <w:rFonts w:asciiTheme="majorHAnsi" w:hAnsiTheme="majorHAnsi"/>
          <w:sz w:val="28"/>
          <w:szCs w:val="28"/>
        </w:rPr>
      </w:pPr>
      <w:r w:rsidRPr="00A32E6B">
        <w:rPr>
          <w:rFonts w:asciiTheme="majorHAnsi" w:hAnsiTheme="majorHAnsi"/>
          <w:sz w:val="28"/>
          <w:szCs w:val="28"/>
        </w:rPr>
        <w:t xml:space="preserve">  </w:t>
      </w:r>
      <w:r w:rsidR="00A32E6B" w:rsidRPr="00A32E6B">
        <w:rPr>
          <w:rFonts w:asciiTheme="majorHAnsi" w:hAnsiTheme="majorHAnsi"/>
          <w:sz w:val="28"/>
          <w:szCs w:val="28"/>
        </w:rPr>
        <w:t xml:space="preserve">    </w:t>
      </w:r>
      <w:r w:rsidR="00691AC9">
        <w:rPr>
          <w:rFonts w:asciiTheme="majorHAnsi" w:hAnsiTheme="majorHAnsi"/>
          <w:sz w:val="28"/>
          <w:szCs w:val="28"/>
        </w:rPr>
        <w:tab/>
      </w:r>
      <w:r w:rsidR="00A32E6B" w:rsidRPr="00A32E6B">
        <w:rPr>
          <w:rFonts w:asciiTheme="majorHAnsi" w:hAnsiTheme="majorHAnsi"/>
          <w:sz w:val="28"/>
          <w:szCs w:val="28"/>
        </w:rPr>
        <w:t xml:space="preserve">Ως γνωστόν από </w:t>
      </w:r>
      <w:r w:rsidR="00101A1A">
        <w:rPr>
          <w:rFonts w:asciiTheme="majorHAnsi" w:hAnsiTheme="majorHAnsi"/>
          <w:sz w:val="28"/>
          <w:szCs w:val="28"/>
        </w:rPr>
        <w:t>0</w:t>
      </w:r>
      <w:r w:rsidR="00A32E6B" w:rsidRPr="00A32E6B">
        <w:rPr>
          <w:rFonts w:asciiTheme="majorHAnsi" w:hAnsiTheme="majorHAnsi"/>
          <w:sz w:val="28"/>
          <w:szCs w:val="28"/>
        </w:rPr>
        <w:t>7/11/1016 τέθηκαν σε εφαρμογή οι νέοι περιοριστικοί κανόνες  παραπομπής για τις  διαγνωστικές εξετάσεις  που προβλέπονται από το ΦΕΚ 2221Β/18-7-2016 σύμφωνα με το οποίο, μεταξύ άλλων:</w:t>
      </w:r>
    </w:p>
    <w:p w:rsidR="00A32E6B" w:rsidRPr="00A32E6B" w:rsidRDefault="00A32E6B" w:rsidP="00A32E6B">
      <w:pPr>
        <w:ind w:firstLine="720"/>
        <w:jc w:val="both"/>
        <w:rPr>
          <w:rFonts w:asciiTheme="majorHAnsi" w:hAnsiTheme="majorHAnsi"/>
          <w:i/>
          <w:sz w:val="28"/>
          <w:szCs w:val="28"/>
        </w:rPr>
      </w:pPr>
      <w:r w:rsidRPr="00A32E6B">
        <w:rPr>
          <w:rFonts w:asciiTheme="majorHAnsi" w:hAnsiTheme="majorHAnsi"/>
          <w:sz w:val="28"/>
          <w:szCs w:val="28"/>
        </w:rPr>
        <w:t xml:space="preserve"> </w:t>
      </w:r>
      <w:r>
        <w:rPr>
          <w:rFonts w:asciiTheme="majorHAnsi" w:hAnsiTheme="majorHAnsi"/>
          <w:i/>
          <w:sz w:val="28"/>
          <w:szCs w:val="28"/>
        </w:rPr>
        <w:t>«</w:t>
      </w:r>
      <w:r w:rsidRPr="00A32E6B">
        <w:rPr>
          <w:rFonts w:asciiTheme="majorHAnsi" w:hAnsiTheme="majorHAnsi"/>
          <w:i/>
          <w:sz w:val="28"/>
          <w:szCs w:val="28"/>
        </w:rPr>
        <w:t xml:space="preserve">Επιπροσθέτως, θα υπολογίζεται συνεχώς το μέσο παραπεμπτικό ανά ειδικότητα και ICD-10 </w:t>
      </w:r>
      <w:r w:rsidRPr="00A32E6B">
        <w:rPr>
          <w:rFonts w:asciiTheme="majorHAnsi" w:hAnsiTheme="majorHAnsi"/>
          <w:sz w:val="28"/>
          <w:szCs w:val="28"/>
        </w:rPr>
        <w:t>[κωδικός νόσου ή συμπτώματος],</w:t>
      </w:r>
      <w:r w:rsidRPr="00A32E6B">
        <w:rPr>
          <w:rFonts w:asciiTheme="majorHAnsi" w:hAnsiTheme="majorHAnsi"/>
          <w:i/>
          <w:sz w:val="28"/>
          <w:szCs w:val="28"/>
        </w:rPr>
        <w:t xml:space="preserve"> όπου ως μέσο παραπεμπτικό ορίζεται ο μέσος όρος της δαπάνης του ΕΟΠΥΥ για τα παραπεμπτικά της ίδιας ειδικότητας και για το ίδιο ICD-10. Για τον υπολογισμό του μέσου παραπεμπτικού ανά ειδικότητα και ICD-10 λαμβάνεται υπόψη το αμέσως προηγούμενο έτος δηλαδή από 1 Ιανουαρίου μέχρι 31 Δεκεμβρίου. Όταν ιατρός συγκεκριμένης ειδικότητας ξεπερνά το 20% του μέσου παραπεμπτικού, θα καταγράφεται η υπέρβαση. Για την υπέρβαση αυτή θα ενημερώνεται τόσο ο ιατρός με ειδικό μήνυμα στην οθόνη του Η/Υ του, όσο και ο ΕΟΠΥΥ</w:t>
      </w:r>
      <w:r>
        <w:rPr>
          <w:rFonts w:asciiTheme="majorHAnsi" w:hAnsiTheme="majorHAnsi"/>
          <w:i/>
          <w:sz w:val="28"/>
          <w:szCs w:val="28"/>
        </w:rPr>
        <w:t>»</w:t>
      </w:r>
    </w:p>
    <w:p w:rsidR="00A32E6B" w:rsidRPr="00A32E6B" w:rsidRDefault="00A32E6B" w:rsidP="00A32E6B">
      <w:pPr>
        <w:ind w:firstLine="720"/>
        <w:jc w:val="both"/>
        <w:rPr>
          <w:rFonts w:asciiTheme="majorHAnsi" w:hAnsiTheme="majorHAnsi"/>
          <w:sz w:val="28"/>
          <w:szCs w:val="28"/>
        </w:rPr>
      </w:pPr>
      <w:r w:rsidRPr="00A32E6B">
        <w:rPr>
          <w:rFonts w:asciiTheme="majorHAnsi" w:hAnsiTheme="majorHAnsi"/>
          <w:sz w:val="28"/>
          <w:szCs w:val="28"/>
        </w:rPr>
        <w:t xml:space="preserve">Εύκολα μπορεί να προβλέψει κανείς τα προβλήματα που μπορούν να  ανακύψουν από την εφαρμογή των ανωτέρω περιορισμών, πρόβλεψη η οποία άλλωστε επιβεβαιώνεται από τις πρώτες μέρες εφαρμογής των ανωτέρω κανόνων. Στην πράξη είναι αδύνατο για τον κάθε ιατρό να παραπέμψει για οποιαδήποτε σχετικά ακριβή εξέταση τον ασθενή του, ακόμη και αν κρίνει ότι αυτή είναι απολύτως αναγκαία για την υγεία του, χωρίς να βρεθεί εκ των υστέρων ο ιατρός υπόλογος έναντι του ΕΟΠΥΥ για υπέρβαση δαπάνης. Ως συνέπεια ο ιατρός παρεμποδίζεται να δράσει σύμφωνα με την ιατρική κρίση του, ως θα όφειλε, με αποτέλεσμα συχνά να αναγκάζεται να αποκλίνει  από την εφαρμογή ακόμη και καλά τεκμηριωμένων ιατρικών πρωτοκόλλων και κατευθυντήριων οδηγιών.  Έτερο απαράδεκτο σημείο των ανωτέρω οδηγιών είναι ο αποκλεισμός συναφών ιατρικών ειδικοτήτων από το δικαίωμα παραπομπής </w:t>
      </w:r>
      <w:r w:rsidRPr="00A32E6B">
        <w:rPr>
          <w:rFonts w:asciiTheme="majorHAnsi" w:hAnsiTheme="majorHAnsi"/>
          <w:sz w:val="28"/>
          <w:szCs w:val="28"/>
        </w:rPr>
        <w:lastRenderedPageBreak/>
        <w:t xml:space="preserve">συγκεκριμένων εξετάσεων, γεγονός το οποίο εμποδίζει τον ιατρό να προσφέρει το καλύτερο στον ασθενή του και αυξάνει τη γραφειοκρατία του συστήματος. </w:t>
      </w:r>
    </w:p>
    <w:p w:rsidR="00A32E6B" w:rsidRPr="00A32E6B" w:rsidRDefault="00A32E6B" w:rsidP="00A32E6B">
      <w:pPr>
        <w:ind w:firstLine="720"/>
        <w:jc w:val="both"/>
        <w:rPr>
          <w:rFonts w:asciiTheme="majorHAnsi" w:hAnsiTheme="majorHAnsi"/>
          <w:sz w:val="28"/>
          <w:szCs w:val="28"/>
        </w:rPr>
      </w:pPr>
      <w:r w:rsidRPr="00A32E6B">
        <w:rPr>
          <w:rFonts w:asciiTheme="majorHAnsi" w:hAnsiTheme="majorHAnsi"/>
          <w:sz w:val="28"/>
          <w:szCs w:val="28"/>
        </w:rPr>
        <w:t>Ο τελικά ζημιωμένος απ΄ όλες αυτές τις δυσλειτουργίες  είναι ο ίδιος ο ασθενής, το δε οικονομικό όφελος για τον ΕΟΠΥΥ είναι μόνο βραχυπρόθεσμο</w:t>
      </w:r>
      <w:r w:rsidR="00D3125C">
        <w:rPr>
          <w:rFonts w:asciiTheme="majorHAnsi" w:hAnsiTheme="majorHAnsi"/>
          <w:sz w:val="28"/>
          <w:szCs w:val="28"/>
        </w:rPr>
        <w:t>,</w:t>
      </w:r>
      <w:r w:rsidRPr="00A32E6B">
        <w:rPr>
          <w:rFonts w:asciiTheme="majorHAnsi" w:hAnsiTheme="majorHAnsi"/>
          <w:sz w:val="28"/>
          <w:szCs w:val="28"/>
        </w:rPr>
        <w:t xml:space="preserve"> καθώς  η συνεπαγόμενη από τους νέους περιορισμούς απόκλιση από την ορθή άσκηση τις ιατρικής θα αυξήσει τις  εσφαλμένες ή καθυστερημένες διαγνώσεις,  άρα και τις επιπλοκές των νόσων όπως και εν γένει τη νοσηρότητα μακροπρόθεσμα,  με τελική συνέπεια την σημαντική οικονομική επιβάρυνση του ΕΣΥ και του ΕΟΠΥΥ, επίσης μακροπρόθεσμα. </w:t>
      </w:r>
    </w:p>
    <w:p w:rsidR="00A32E6B" w:rsidRPr="00A32E6B" w:rsidRDefault="00A32E6B" w:rsidP="00A32E6B">
      <w:pPr>
        <w:jc w:val="both"/>
        <w:rPr>
          <w:rFonts w:asciiTheme="majorHAnsi" w:hAnsiTheme="majorHAnsi"/>
          <w:sz w:val="28"/>
          <w:szCs w:val="28"/>
        </w:rPr>
      </w:pPr>
      <w:r w:rsidRPr="00A32E6B">
        <w:rPr>
          <w:rFonts w:asciiTheme="majorHAnsi" w:hAnsiTheme="majorHAnsi"/>
          <w:sz w:val="28"/>
          <w:szCs w:val="28"/>
        </w:rPr>
        <w:tab/>
        <w:t xml:space="preserve">Ουδείς διαφωνεί με την βέλτιστη οικονομικά  διαχείριση των πόρων για την Υγεία, ειδικά σε αυτούς τους χαλεπούς καιρούς, αυτή όμως δεν μπορεί να γίνεται αμιγώς με λογιστικά κριτήρια εις βάρος της  ορθής άσκησης της ιατρικής. Καλούμε το Υπουργείο Υγείας να αναστείλει άμεσα την εφαρμογή των ανωτέρω διατάξεων και να καθορίσει,  από κοινού με τις Επιστημονικές Ιατρικές Εταιρείες (δηλαδή τους συλλογικούς επιστημονικούς φορείς των ιατρών ανά ειδικότητα), τα ενδεδειγμένα ιατρικά πρωτόκολλα και τις κατευθυντήριες οδηγίες,  που θα εξασφαλίσουν τη  βέλτιστη  παροχή υπηρεσιών υγείας στους ασθενείς παράλληλα με την οικονομικά συνετή διαχείριση των διαθέσιμων πόρων.    </w:t>
      </w:r>
    </w:p>
    <w:p w:rsidR="00A32E6B" w:rsidRPr="00A32E6B" w:rsidRDefault="00A32E6B" w:rsidP="00A32E6B">
      <w:pPr>
        <w:ind w:firstLine="720"/>
        <w:jc w:val="both"/>
        <w:rPr>
          <w:rFonts w:asciiTheme="majorHAnsi" w:hAnsiTheme="majorHAnsi"/>
          <w:sz w:val="28"/>
          <w:szCs w:val="28"/>
        </w:rPr>
      </w:pPr>
    </w:p>
    <w:p w:rsidR="0033583D" w:rsidRPr="00A32E6B" w:rsidRDefault="0033583D" w:rsidP="00655A23">
      <w:pPr>
        <w:rPr>
          <w:rFonts w:asciiTheme="majorHAnsi" w:hAnsiTheme="majorHAnsi"/>
          <w:sz w:val="28"/>
          <w:szCs w:val="28"/>
        </w:rPr>
      </w:pPr>
    </w:p>
    <w:p w:rsidR="006E33B0" w:rsidRPr="00A32E6B" w:rsidRDefault="00925811" w:rsidP="006E33B0">
      <w:pPr>
        <w:jc w:val="both"/>
        <w:rPr>
          <w:rFonts w:asciiTheme="majorHAnsi" w:hAnsiTheme="majorHAnsi"/>
          <w:sz w:val="28"/>
          <w:szCs w:val="28"/>
        </w:rPr>
      </w:pPr>
      <w:r w:rsidRPr="00A32E6B">
        <w:rPr>
          <w:rFonts w:asciiTheme="majorHAnsi" w:hAnsiTheme="majorHAnsi"/>
          <w:sz w:val="28"/>
          <w:szCs w:val="28"/>
        </w:rPr>
        <w:t xml:space="preserve">                           </w:t>
      </w:r>
      <w:r w:rsidR="00956564" w:rsidRPr="00A32E6B">
        <w:rPr>
          <w:rFonts w:asciiTheme="majorHAnsi" w:hAnsiTheme="majorHAnsi"/>
          <w:sz w:val="28"/>
          <w:szCs w:val="28"/>
        </w:rPr>
        <w:t xml:space="preserve">     </w:t>
      </w:r>
      <w:r w:rsidRPr="00A32E6B">
        <w:rPr>
          <w:rFonts w:asciiTheme="majorHAnsi" w:hAnsiTheme="majorHAnsi"/>
          <w:sz w:val="28"/>
          <w:szCs w:val="28"/>
        </w:rPr>
        <w:t xml:space="preserve"> </w:t>
      </w:r>
      <w:r w:rsidR="006E33B0" w:rsidRPr="00A32E6B">
        <w:rPr>
          <w:rFonts w:asciiTheme="majorHAnsi" w:hAnsiTheme="majorHAnsi"/>
          <w:sz w:val="28"/>
          <w:szCs w:val="28"/>
        </w:rPr>
        <w:t xml:space="preserve">Για  το  Διοικητικό Συμβούλιο </w:t>
      </w:r>
      <w:r w:rsidRPr="00A32E6B">
        <w:rPr>
          <w:rFonts w:asciiTheme="majorHAnsi" w:hAnsiTheme="majorHAnsi"/>
          <w:sz w:val="28"/>
          <w:szCs w:val="28"/>
        </w:rPr>
        <w:t xml:space="preserve"> του  Ι.Σ.Π.Ο.</w:t>
      </w:r>
    </w:p>
    <w:p w:rsidR="006E33B0" w:rsidRPr="00A32E6B" w:rsidRDefault="00A32E6B" w:rsidP="00A32E6B">
      <w:pPr>
        <w:tabs>
          <w:tab w:val="left" w:pos="3330"/>
        </w:tabs>
        <w:jc w:val="both"/>
        <w:rPr>
          <w:rFonts w:asciiTheme="majorHAnsi" w:hAnsiTheme="majorHAnsi"/>
          <w:sz w:val="28"/>
          <w:szCs w:val="28"/>
        </w:rPr>
      </w:pPr>
      <w:r w:rsidRPr="00A32E6B">
        <w:rPr>
          <w:rFonts w:asciiTheme="majorHAnsi" w:hAnsiTheme="majorHAnsi"/>
          <w:sz w:val="28"/>
          <w:szCs w:val="28"/>
        </w:rPr>
        <w:tab/>
      </w:r>
    </w:p>
    <w:p w:rsidR="006E33B0" w:rsidRPr="00A32E6B" w:rsidRDefault="006E33B0" w:rsidP="006E33B0">
      <w:pPr>
        <w:jc w:val="both"/>
        <w:rPr>
          <w:rFonts w:asciiTheme="majorHAnsi" w:hAnsiTheme="majorHAnsi"/>
          <w:sz w:val="28"/>
          <w:szCs w:val="28"/>
        </w:rPr>
      </w:pPr>
      <w:r w:rsidRPr="00A32E6B">
        <w:rPr>
          <w:rFonts w:asciiTheme="majorHAnsi" w:hAnsiTheme="majorHAnsi"/>
          <w:sz w:val="28"/>
          <w:szCs w:val="28"/>
        </w:rPr>
        <w:t xml:space="preserve">            Ο  Πρόεδρος                                      </w:t>
      </w:r>
      <w:r w:rsidR="00521A17" w:rsidRPr="00A32E6B">
        <w:rPr>
          <w:rFonts w:asciiTheme="majorHAnsi" w:hAnsiTheme="majorHAnsi"/>
          <w:sz w:val="28"/>
          <w:szCs w:val="28"/>
        </w:rPr>
        <w:t xml:space="preserve">                              </w:t>
      </w:r>
      <w:r w:rsidRPr="00A32E6B">
        <w:rPr>
          <w:rFonts w:asciiTheme="majorHAnsi" w:hAnsiTheme="majorHAnsi"/>
          <w:sz w:val="28"/>
          <w:szCs w:val="28"/>
        </w:rPr>
        <w:t>Ο  Γεν.  Γραμματέας</w:t>
      </w:r>
    </w:p>
    <w:p w:rsidR="009B3CCD" w:rsidRPr="00A32E6B" w:rsidRDefault="009B3CCD" w:rsidP="006E33B0">
      <w:pPr>
        <w:jc w:val="both"/>
        <w:rPr>
          <w:rFonts w:asciiTheme="majorHAnsi" w:hAnsiTheme="majorHAnsi"/>
          <w:sz w:val="28"/>
          <w:szCs w:val="28"/>
        </w:rPr>
      </w:pPr>
    </w:p>
    <w:p w:rsidR="00956564" w:rsidRPr="00A32E6B" w:rsidRDefault="00956564" w:rsidP="006E33B0">
      <w:pPr>
        <w:jc w:val="both"/>
        <w:rPr>
          <w:rFonts w:asciiTheme="majorHAnsi" w:hAnsiTheme="majorHAnsi"/>
          <w:sz w:val="28"/>
          <w:szCs w:val="28"/>
        </w:rPr>
      </w:pPr>
    </w:p>
    <w:p w:rsidR="006E33B0" w:rsidRPr="00A32E6B" w:rsidRDefault="006E33B0" w:rsidP="006E33B0">
      <w:pPr>
        <w:jc w:val="both"/>
        <w:rPr>
          <w:rFonts w:asciiTheme="majorHAnsi" w:hAnsiTheme="majorHAnsi"/>
          <w:sz w:val="28"/>
          <w:szCs w:val="28"/>
        </w:rPr>
      </w:pPr>
      <w:r w:rsidRPr="00A32E6B">
        <w:rPr>
          <w:rFonts w:asciiTheme="majorHAnsi" w:hAnsiTheme="majorHAnsi"/>
          <w:sz w:val="28"/>
          <w:szCs w:val="28"/>
        </w:rPr>
        <w:t xml:space="preserve">  Ευάγγελος  Παπαγεωργίου</w:t>
      </w: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t xml:space="preserve">       Χρήστος   Γιαννικούλης  </w:t>
      </w:r>
    </w:p>
    <w:p w:rsidR="006E33B0" w:rsidRPr="00A32E6B" w:rsidRDefault="006E33B0" w:rsidP="006E33B0">
      <w:pPr>
        <w:jc w:val="both"/>
        <w:rPr>
          <w:rFonts w:asciiTheme="majorHAnsi" w:hAnsiTheme="majorHAnsi"/>
          <w:sz w:val="28"/>
          <w:szCs w:val="28"/>
        </w:rPr>
      </w:pP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r>
    </w:p>
    <w:p w:rsidR="006E33B0" w:rsidRPr="00A32E6B" w:rsidRDefault="006E33B0" w:rsidP="006E33B0">
      <w:pPr>
        <w:jc w:val="both"/>
        <w:rPr>
          <w:rFonts w:asciiTheme="majorHAnsi" w:hAnsiTheme="majorHAnsi"/>
          <w:sz w:val="28"/>
          <w:szCs w:val="28"/>
        </w:rPr>
      </w:pP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r>
    </w:p>
    <w:p w:rsidR="006E33B0" w:rsidRPr="00A32E6B" w:rsidRDefault="006E33B0" w:rsidP="006E33B0">
      <w:pPr>
        <w:jc w:val="both"/>
        <w:rPr>
          <w:rFonts w:asciiTheme="majorHAnsi" w:hAnsiTheme="majorHAnsi"/>
          <w:sz w:val="28"/>
          <w:szCs w:val="28"/>
        </w:rPr>
      </w:pP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r>
      <w:r w:rsidRPr="00A32E6B">
        <w:rPr>
          <w:rFonts w:asciiTheme="majorHAnsi" w:hAnsiTheme="majorHAnsi"/>
          <w:sz w:val="28"/>
          <w:szCs w:val="28"/>
        </w:rPr>
        <w:tab/>
        <w:t xml:space="preserve">  </w:t>
      </w:r>
      <w:r w:rsidRPr="00A32E6B">
        <w:rPr>
          <w:rFonts w:asciiTheme="majorHAnsi" w:hAnsiTheme="majorHAnsi"/>
          <w:sz w:val="28"/>
          <w:szCs w:val="28"/>
        </w:rPr>
        <w:tab/>
        <w:t xml:space="preserve"> </w:t>
      </w:r>
    </w:p>
    <w:p w:rsidR="006E33B0" w:rsidRPr="00A32E6B" w:rsidRDefault="006E33B0" w:rsidP="006E33B0">
      <w:pPr>
        <w:ind w:firstLine="720"/>
        <w:jc w:val="both"/>
        <w:rPr>
          <w:rFonts w:asciiTheme="majorHAnsi" w:hAnsiTheme="majorHAnsi"/>
          <w:sz w:val="24"/>
          <w:szCs w:val="24"/>
        </w:rPr>
      </w:pPr>
      <w:r w:rsidRPr="00A32E6B">
        <w:rPr>
          <w:rFonts w:asciiTheme="majorHAnsi" w:hAnsiTheme="majorHAnsi"/>
          <w:sz w:val="24"/>
          <w:szCs w:val="24"/>
        </w:rPr>
        <w:t xml:space="preserve">  </w:t>
      </w:r>
    </w:p>
    <w:p w:rsidR="006E33B0" w:rsidRPr="006E33B0" w:rsidRDefault="006E33B0" w:rsidP="006E33B0">
      <w:pPr>
        <w:ind w:left="2160" w:firstLine="720"/>
        <w:jc w:val="both"/>
        <w:rPr>
          <w:rFonts w:asciiTheme="majorHAnsi" w:hAnsiTheme="majorHAnsi"/>
          <w:sz w:val="26"/>
          <w:szCs w:val="26"/>
        </w:rPr>
      </w:pPr>
    </w:p>
    <w:p w:rsidR="006E33B0" w:rsidRPr="006E33B0" w:rsidRDefault="006E33B0"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6E3D08">
      <w:pPr>
        <w:ind w:left="2160" w:firstLine="720"/>
        <w:rPr>
          <w:rFonts w:asciiTheme="majorHAnsi" w:hAnsiTheme="majorHAnsi"/>
          <w:sz w:val="26"/>
          <w:szCs w:val="26"/>
        </w:rPr>
      </w:pPr>
    </w:p>
    <w:sectPr w:rsidR="00BD3A7F" w:rsidRPr="006E33B0" w:rsidSect="00A32E6B">
      <w:headerReference w:type="first" r:id="rId7"/>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6FC" w:rsidRDefault="00B916FC" w:rsidP="00035218">
      <w:r>
        <w:separator/>
      </w:r>
    </w:p>
  </w:endnote>
  <w:endnote w:type="continuationSeparator" w:id="1">
    <w:p w:rsidR="00B916FC" w:rsidRDefault="00B916FC"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6FC" w:rsidRDefault="00B916FC" w:rsidP="00035218">
      <w:r>
        <w:separator/>
      </w:r>
    </w:p>
  </w:footnote>
  <w:footnote w:type="continuationSeparator" w:id="1">
    <w:p w:rsidR="00B916FC" w:rsidRDefault="00B916FC"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0A06ABD"/>
    <w:multiLevelType w:val="hybridMultilevel"/>
    <w:tmpl w:val="6ACCAC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2C9642DF"/>
    <w:multiLevelType w:val="hybridMultilevel"/>
    <w:tmpl w:val="658055E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0418"/>
  </w:hdrShapeDefaults>
  <w:footnotePr>
    <w:footnote w:id="0"/>
    <w:footnote w:id="1"/>
  </w:footnotePr>
  <w:endnotePr>
    <w:endnote w:id="0"/>
    <w:endnote w:id="1"/>
  </w:endnotePr>
  <w:compat/>
  <w:rsids>
    <w:rsidRoot w:val="00035218"/>
    <w:rsid w:val="00035218"/>
    <w:rsid w:val="00060F98"/>
    <w:rsid w:val="00061694"/>
    <w:rsid w:val="00085AD2"/>
    <w:rsid w:val="00101A1A"/>
    <w:rsid w:val="00105CFD"/>
    <w:rsid w:val="0012698F"/>
    <w:rsid w:val="00156053"/>
    <w:rsid w:val="00162B43"/>
    <w:rsid w:val="00210E5E"/>
    <w:rsid w:val="002567AB"/>
    <w:rsid w:val="00265A29"/>
    <w:rsid w:val="002A15D1"/>
    <w:rsid w:val="002C284E"/>
    <w:rsid w:val="00330361"/>
    <w:rsid w:val="0033583D"/>
    <w:rsid w:val="003400FB"/>
    <w:rsid w:val="003B58D1"/>
    <w:rsid w:val="003D2077"/>
    <w:rsid w:val="00470468"/>
    <w:rsid w:val="004726E2"/>
    <w:rsid w:val="004A7446"/>
    <w:rsid w:val="004D6E37"/>
    <w:rsid w:val="004D6EE9"/>
    <w:rsid w:val="005118B7"/>
    <w:rsid w:val="00521A17"/>
    <w:rsid w:val="00526381"/>
    <w:rsid w:val="00563010"/>
    <w:rsid w:val="00564B76"/>
    <w:rsid w:val="005859D2"/>
    <w:rsid w:val="005A37B8"/>
    <w:rsid w:val="005C31F3"/>
    <w:rsid w:val="005D6A2A"/>
    <w:rsid w:val="00616D19"/>
    <w:rsid w:val="006215AC"/>
    <w:rsid w:val="00636539"/>
    <w:rsid w:val="00655A23"/>
    <w:rsid w:val="00680AA1"/>
    <w:rsid w:val="00691AC9"/>
    <w:rsid w:val="006C2BB0"/>
    <w:rsid w:val="006E33B0"/>
    <w:rsid w:val="006E3D08"/>
    <w:rsid w:val="00711373"/>
    <w:rsid w:val="00716E37"/>
    <w:rsid w:val="00720CAE"/>
    <w:rsid w:val="007325FD"/>
    <w:rsid w:val="00832E7E"/>
    <w:rsid w:val="00883344"/>
    <w:rsid w:val="009243AA"/>
    <w:rsid w:val="00925811"/>
    <w:rsid w:val="00940560"/>
    <w:rsid w:val="00952648"/>
    <w:rsid w:val="00956564"/>
    <w:rsid w:val="00963411"/>
    <w:rsid w:val="0098119B"/>
    <w:rsid w:val="0098214D"/>
    <w:rsid w:val="00984719"/>
    <w:rsid w:val="00992840"/>
    <w:rsid w:val="009B3CCD"/>
    <w:rsid w:val="009E3CD6"/>
    <w:rsid w:val="00A05A23"/>
    <w:rsid w:val="00A11C70"/>
    <w:rsid w:val="00A124E9"/>
    <w:rsid w:val="00A32E6B"/>
    <w:rsid w:val="00A465C0"/>
    <w:rsid w:val="00A508B7"/>
    <w:rsid w:val="00A72A65"/>
    <w:rsid w:val="00A7583D"/>
    <w:rsid w:val="00AC3FFD"/>
    <w:rsid w:val="00B0296E"/>
    <w:rsid w:val="00B12DEB"/>
    <w:rsid w:val="00B3334B"/>
    <w:rsid w:val="00B5740F"/>
    <w:rsid w:val="00B70F31"/>
    <w:rsid w:val="00B80C2B"/>
    <w:rsid w:val="00B84FDA"/>
    <w:rsid w:val="00B916FC"/>
    <w:rsid w:val="00BD3A7F"/>
    <w:rsid w:val="00BF40E7"/>
    <w:rsid w:val="00C519F2"/>
    <w:rsid w:val="00C66138"/>
    <w:rsid w:val="00C90C7A"/>
    <w:rsid w:val="00C95F2D"/>
    <w:rsid w:val="00CE4DE5"/>
    <w:rsid w:val="00D024C8"/>
    <w:rsid w:val="00D3125C"/>
    <w:rsid w:val="00D33EFA"/>
    <w:rsid w:val="00D473AE"/>
    <w:rsid w:val="00D6469C"/>
    <w:rsid w:val="00D769B4"/>
    <w:rsid w:val="00D934F4"/>
    <w:rsid w:val="00DA633E"/>
    <w:rsid w:val="00DB348F"/>
    <w:rsid w:val="00DE3A16"/>
    <w:rsid w:val="00E270DF"/>
    <w:rsid w:val="00E3614A"/>
    <w:rsid w:val="00E429A7"/>
    <w:rsid w:val="00E84FC3"/>
    <w:rsid w:val="00E9052C"/>
    <w:rsid w:val="00EB297E"/>
    <w:rsid w:val="00ED1507"/>
    <w:rsid w:val="00F14B43"/>
    <w:rsid w:val="00F25028"/>
    <w:rsid w:val="00F25569"/>
    <w:rsid w:val="00F34C34"/>
    <w:rsid w:val="00F661E8"/>
    <w:rsid w:val="00FB354B"/>
    <w:rsid w:val="00FC29E1"/>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539</Words>
  <Characters>2913</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5</cp:revision>
  <cp:lastPrinted>2016-08-09T09:31:00Z</cp:lastPrinted>
  <dcterms:created xsi:type="dcterms:W3CDTF">2016-11-18T12:30:00Z</dcterms:created>
  <dcterms:modified xsi:type="dcterms:W3CDTF">2016-11-18T12:38:00Z</dcterms:modified>
</cp:coreProperties>
</file>