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FC3" w:rsidRDefault="00E84FC3" w:rsidP="00E84FC3">
      <w:pPr>
        <w:rPr>
          <w:rFonts w:asciiTheme="minorHAnsi" w:hAnsiTheme="minorHAnsi"/>
          <w:sz w:val="25"/>
          <w:szCs w:val="25"/>
        </w:rPr>
      </w:pPr>
    </w:p>
    <w:p w:rsidR="00C519F2" w:rsidRDefault="00E84FC3" w:rsidP="00E84FC3">
      <w:pPr>
        <w:rPr>
          <w:rFonts w:asciiTheme="majorHAnsi" w:hAnsiTheme="majorHAnsi"/>
          <w:sz w:val="28"/>
          <w:szCs w:val="28"/>
        </w:rPr>
      </w:pPr>
      <w:r>
        <w:rPr>
          <w:rFonts w:asciiTheme="minorHAnsi" w:hAnsiTheme="minorHAnsi"/>
          <w:sz w:val="25"/>
          <w:szCs w:val="25"/>
        </w:rPr>
        <w:t xml:space="preserve">                                                                                     </w:t>
      </w:r>
      <w:r w:rsidR="00907F27">
        <w:rPr>
          <w:rFonts w:asciiTheme="minorHAnsi" w:hAnsiTheme="minorHAnsi"/>
          <w:sz w:val="25"/>
          <w:szCs w:val="25"/>
        </w:rPr>
        <w:t xml:space="preserve">              </w:t>
      </w:r>
      <w:r>
        <w:rPr>
          <w:rFonts w:asciiTheme="minorHAnsi" w:hAnsiTheme="minorHAnsi"/>
          <w:sz w:val="25"/>
          <w:szCs w:val="25"/>
        </w:rPr>
        <w:t xml:space="preserve"> </w:t>
      </w:r>
      <w:r w:rsidR="00C519F2" w:rsidRPr="00CF2CA3">
        <w:rPr>
          <w:rFonts w:asciiTheme="majorHAnsi" w:hAnsiTheme="majorHAnsi"/>
          <w:sz w:val="28"/>
          <w:szCs w:val="28"/>
        </w:rPr>
        <w:t xml:space="preserve">Πύργος </w:t>
      </w:r>
      <w:r w:rsidR="00C90C7A" w:rsidRPr="00CF2CA3">
        <w:rPr>
          <w:rFonts w:asciiTheme="majorHAnsi" w:hAnsiTheme="majorHAnsi"/>
          <w:sz w:val="28"/>
          <w:szCs w:val="28"/>
        </w:rPr>
        <w:t xml:space="preserve"> </w:t>
      </w:r>
      <w:r w:rsidR="00ED1507" w:rsidRPr="00CF2CA3">
        <w:rPr>
          <w:rFonts w:asciiTheme="majorHAnsi" w:hAnsiTheme="majorHAnsi"/>
          <w:sz w:val="28"/>
          <w:szCs w:val="28"/>
        </w:rPr>
        <w:t xml:space="preserve"> </w:t>
      </w:r>
      <w:r w:rsidR="003139CC">
        <w:rPr>
          <w:rFonts w:asciiTheme="majorHAnsi" w:hAnsiTheme="majorHAnsi"/>
          <w:sz w:val="28"/>
          <w:szCs w:val="28"/>
        </w:rPr>
        <w:t>02</w:t>
      </w:r>
      <w:r w:rsidR="00907F27" w:rsidRPr="00CF2CA3">
        <w:rPr>
          <w:rFonts w:asciiTheme="majorHAnsi" w:hAnsiTheme="majorHAnsi"/>
          <w:sz w:val="28"/>
          <w:szCs w:val="28"/>
        </w:rPr>
        <w:t>-</w:t>
      </w:r>
      <w:r w:rsidR="003139CC">
        <w:rPr>
          <w:rFonts w:asciiTheme="majorHAnsi" w:hAnsiTheme="majorHAnsi"/>
          <w:sz w:val="28"/>
          <w:szCs w:val="28"/>
        </w:rPr>
        <w:t>06</w:t>
      </w:r>
      <w:r w:rsidR="00907F27" w:rsidRPr="00CF2CA3">
        <w:rPr>
          <w:rFonts w:asciiTheme="majorHAnsi" w:hAnsiTheme="majorHAnsi"/>
          <w:sz w:val="28"/>
          <w:szCs w:val="28"/>
        </w:rPr>
        <w:t>-2016</w:t>
      </w:r>
    </w:p>
    <w:p w:rsidR="000E775F" w:rsidRDefault="003139CC" w:rsidP="00E84FC3">
      <w:pPr>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Α.Π.:   596</w:t>
      </w:r>
      <w:r w:rsidR="00216F5A">
        <w:rPr>
          <w:rFonts w:asciiTheme="majorHAnsi" w:hAnsiTheme="majorHAnsi"/>
          <w:sz w:val="28"/>
          <w:szCs w:val="28"/>
        </w:rPr>
        <w:tab/>
      </w:r>
    </w:p>
    <w:p w:rsidR="003139CC" w:rsidRPr="00FF704A" w:rsidRDefault="003139CC" w:rsidP="00E84FC3">
      <w:pPr>
        <w:rPr>
          <w:rFonts w:asciiTheme="majorHAnsi" w:hAnsiTheme="majorHAnsi"/>
          <w:sz w:val="28"/>
          <w:szCs w:val="28"/>
        </w:rPr>
      </w:pPr>
    </w:p>
    <w:p w:rsidR="003139CC" w:rsidRDefault="00CD27B9" w:rsidP="003139CC">
      <w:pPr>
        <w:jc w:val="center"/>
        <w:rPr>
          <w:rFonts w:asciiTheme="majorHAnsi" w:hAnsiTheme="majorHAnsi"/>
          <w:b/>
          <w:sz w:val="28"/>
          <w:szCs w:val="28"/>
        </w:rPr>
      </w:pPr>
      <w:r w:rsidRPr="00FF704A">
        <w:rPr>
          <w:rFonts w:asciiTheme="majorHAnsi" w:hAnsiTheme="majorHAnsi"/>
          <w:b/>
          <w:sz w:val="28"/>
          <w:szCs w:val="28"/>
        </w:rPr>
        <w:t>ΔΕΛΤΙΟ  ΤΥΠΟΥ</w:t>
      </w:r>
    </w:p>
    <w:p w:rsidR="00FF704A" w:rsidRPr="00FF704A" w:rsidRDefault="00FF704A" w:rsidP="003139CC">
      <w:pPr>
        <w:jc w:val="center"/>
        <w:rPr>
          <w:rFonts w:asciiTheme="majorHAnsi" w:hAnsiTheme="majorHAnsi"/>
          <w:b/>
          <w:sz w:val="28"/>
          <w:szCs w:val="28"/>
        </w:rPr>
      </w:pPr>
    </w:p>
    <w:p w:rsidR="00CD27B9" w:rsidRPr="00FF704A" w:rsidRDefault="00CD27B9" w:rsidP="003139CC">
      <w:pPr>
        <w:jc w:val="center"/>
        <w:rPr>
          <w:rFonts w:asciiTheme="majorHAnsi" w:hAnsiTheme="majorHAnsi"/>
          <w:b/>
          <w:sz w:val="28"/>
          <w:szCs w:val="28"/>
        </w:rPr>
      </w:pPr>
      <w:r w:rsidRPr="00FF704A">
        <w:rPr>
          <w:rFonts w:asciiTheme="majorHAnsi" w:hAnsiTheme="majorHAnsi"/>
          <w:b/>
          <w:sz w:val="28"/>
          <w:szCs w:val="28"/>
        </w:rPr>
        <w:t>ΓΙΑ ΕΠΙΣΧΕΣΗ ΙΑΤΡΩΝ ΕΟΠΥΥ</w:t>
      </w:r>
    </w:p>
    <w:p w:rsidR="00CD27B9" w:rsidRPr="00B756D2" w:rsidRDefault="00CD27B9" w:rsidP="00CD27B9">
      <w:pPr>
        <w:rPr>
          <w:sz w:val="32"/>
          <w:szCs w:val="32"/>
        </w:rPr>
      </w:pPr>
    </w:p>
    <w:p w:rsidR="00CD27B9" w:rsidRPr="00FF704A" w:rsidRDefault="00CD27B9" w:rsidP="003139CC">
      <w:pPr>
        <w:ind w:firstLine="720"/>
        <w:jc w:val="both"/>
        <w:rPr>
          <w:rFonts w:asciiTheme="majorHAnsi" w:hAnsiTheme="majorHAnsi"/>
          <w:sz w:val="28"/>
          <w:szCs w:val="28"/>
        </w:rPr>
      </w:pPr>
      <w:r w:rsidRPr="00FF704A">
        <w:rPr>
          <w:rFonts w:asciiTheme="majorHAnsi" w:hAnsiTheme="majorHAnsi"/>
          <w:sz w:val="28"/>
          <w:szCs w:val="28"/>
          <w:lang w:val="en-US"/>
        </w:rPr>
        <w:t>O</w:t>
      </w:r>
      <w:r w:rsidRPr="00FF704A">
        <w:rPr>
          <w:rFonts w:asciiTheme="majorHAnsi" w:hAnsiTheme="majorHAnsi"/>
          <w:sz w:val="28"/>
          <w:szCs w:val="28"/>
        </w:rPr>
        <w:t xml:space="preserve"> </w:t>
      </w:r>
      <w:r w:rsidR="003139CC" w:rsidRPr="00FF704A">
        <w:rPr>
          <w:rFonts w:asciiTheme="majorHAnsi" w:hAnsiTheme="majorHAnsi"/>
          <w:sz w:val="28"/>
          <w:szCs w:val="28"/>
        </w:rPr>
        <w:t xml:space="preserve">Ιατρικός Σύλλογος  Πύργου-Ολυμπίας </w:t>
      </w:r>
      <w:r w:rsidRPr="00FF704A">
        <w:rPr>
          <w:rFonts w:asciiTheme="majorHAnsi" w:hAnsiTheme="majorHAnsi"/>
          <w:sz w:val="28"/>
          <w:szCs w:val="28"/>
        </w:rPr>
        <w:t xml:space="preserve"> στηρίζει την επίσχεση των ιατρών του ΕΟΠΥΥ που παραμένουν απλήρωτοι από τον Ιανουάριο του 2016. Η στάση πληρωμών του ΕΟΠΥΥ προς τους Ιατρούς, σε συνδυασμό με την απαράδεκτη </w:t>
      </w:r>
      <w:r w:rsidR="003139CC" w:rsidRPr="00FF704A">
        <w:rPr>
          <w:rFonts w:asciiTheme="majorHAnsi" w:hAnsiTheme="majorHAnsi"/>
          <w:sz w:val="28"/>
          <w:szCs w:val="28"/>
        </w:rPr>
        <w:t xml:space="preserve"> </w:t>
      </w:r>
      <w:r w:rsidRPr="00FF704A">
        <w:rPr>
          <w:rFonts w:asciiTheme="majorHAnsi" w:hAnsiTheme="majorHAnsi"/>
          <w:sz w:val="28"/>
          <w:szCs w:val="28"/>
        </w:rPr>
        <w:t xml:space="preserve">υποκοστολόγηση  των εργαστηριακών εξετάσεων,  το </w:t>
      </w:r>
      <w:r w:rsidRPr="00FF704A">
        <w:rPr>
          <w:rFonts w:asciiTheme="majorHAnsi" w:hAnsiTheme="majorHAnsi"/>
          <w:sz w:val="28"/>
          <w:szCs w:val="28"/>
          <w:lang w:val="en-US"/>
        </w:rPr>
        <w:t>claw</w:t>
      </w:r>
      <w:r w:rsidRPr="00FF704A">
        <w:rPr>
          <w:rFonts w:asciiTheme="majorHAnsi" w:hAnsiTheme="majorHAnsi"/>
          <w:sz w:val="28"/>
          <w:szCs w:val="28"/>
        </w:rPr>
        <w:t xml:space="preserve"> </w:t>
      </w:r>
      <w:r w:rsidRPr="00FF704A">
        <w:rPr>
          <w:rFonts w:asciiTheme="majorHAnsi" w:hAnsiTheme="majorHAnsi"/>
          <w:sz w:val="28"/>
          <w:szCs w:val="28"/>
          <w:lang w:val="en-US"/>
        </w:rPr>
        <w:t>back</w:t>
      </w:r>
      <w:r w:rsidRPr="00FF704A">
        <w:rPr>
          <w:rFonts w:asciiTheme="majorHAnsi" w:hAnsiTheme="majorHAnsi"/>
          <w:sz w:val="28"/>
          <w:szCs w:val="28"/>
        </w:rPr>
        <w:t xml:space="preserve">, το </w:t>
      </w:r>
      <w:r w:rsidRPr="00FF704A">
        <w:rPr>
          <w:rFonts w:asciiTheme="majorHAnsi" w:hAnsiTheme="majorHAnsi"/>
          <w:sz w:val="28"/>
          <w:szCs w:val="28"/>
          <w:lang w:val="en-US"/>
        </w:rPr>
        <w:t>rebate</w:t>
      </w:r>
      <w:r w:rsidRPr="00FF704A">
        <w:rPr>
          <w:rFonts w:asciiTheme="majorHAnsi" w:hAnsiTheme="majorHAnsi"/>
          <w:sz w:val="28"/>
          <w:szCs w:val="28"/>
        </w:rPr>
        <w:t xml:space="preserve"> αλλά και το  νέο ασφαλιστικό και φορολογικό νομοσχέδιο όπως και η φορολογική υποχρέωση των Ιατρών να εκδίδουν τιμολόγια και να πληρώνουν φόρο, πλέον δε και αναλογικές ασφαλιστικές εισφορές, για ποσά τα οποία δεν έχουν ακόμη εισπράξει και για τα οποία είναι άγνωστο το πότε θα εισπραχθούν  οδηγούν σε εκμηδένιση του εισοδήματος των ιατρών  και σε δημιουργία χρεών προς  τους προμηθευτές τους, την Εφορία και τα  Ασφαλιστικά Ταμεία</w:t>
      </w:r>
      <w:r w:rsidR="00FF704A" w:rsidRPr="00FF704A">
        <w:rPr>
          <w:rFonts w:asciiTheme="majorHAnsi" w:hAnsiTheme="majorHAnsi"/>
          <w:sz w:val="28"/>
          <w:szCs w:val="28"/>
        </w:rPr>
        <w:t>,</w:t>
      </w:r>
      <w:r w:rsidRPr="00FF704A">
        <w:rPr>
          <w:rFonts w:asciiTheme="majorHAnsi" w:hAnsiTheme="majorHAnsi"/>
          <w:sz w:val="28"/>
          <w:szCs w:val="28"/>
        </w:rPr>
        <w:t xml:space="preserve"> με συνέπεια χιλιάδες ιατρεία να κινδυνεύουν να κλείσουν οριστικά.</w:t>
      </w:r>
    </w:p>
    <w:p w:rsidR="003139CC" w:rsidRPr="00FF704A" w:rsidRDefault="003139CC" w:rsidP="003139CC">
      <w:pPr>
        <w:ind w:firstLine="720"/>
        <w:jc w:val="both"/>
        <w:rPr>
          <w:rFonts w:asciiTheme="majorHAnsi" w:hAnsiTheme="majorHAnsi"/>
          <w:sz w:val="28"/>
          <w:szCs w:val="28"/>
        </w:rPr>
      </w:pPr>
    </w:p>
    <w:p w:rsidR="00CD27B9" w:rsidRPr="00FF704A" w:rsidRDefault="00CD27B9" w:rsidP="003139CC">
      <w:pPr>
        <w:ind w:firstLine="720"/>
        <w:jc w:val="both"/>
        <w:rPr>
          <w:rFonts w:asciiTheme="majorHAnsi" w:hAnsiTheme="majorHAnsi"/>
          <w:sz w:val="28"/>
          <w:szCs w:val="28"/>
        </w:rPr>
      </w:pPr>
      <w:r w:rsidRPr="00FF704A">
        <w:rPr>
          <w:rFonts w:asciiTheme="majorHAnsi" w:hAnsiTheme="majorHAnsi"/>
          <w:sz w:val="28"/>
          <w:szCs w:val="28"/>
        </w:rPr>
        <w:t>Αξίζει να επισημάνουμε ότι εκτός από τις ανωτέρω τρέχουσες οφειλές του ΕΟΠΥΥ εκκρεμεί για πολλούς συναδέλφους η πληρωμή παλαιών ληξιπρόθεσμων οφειλών προς αυτούς από τον  ΕΟΠΥΥ και από τα Ταμεία που εντάχτηκαν σε αυτόν, από το 2010 και μετά.</w:t>
      </w:r>
    </w:p>
    <w:p w:rsidR="003139CC" w:rsidRPr="00FF704A" w:rsidRDefault="003139CC" w:rsidP="003139CC">
      <w:pPr>
        <w:ind w:firstLine="720"/>
        <w:jc w:val="both"/>
        <w:rPr>
          <w:rFonts w:asciiTheme="majorHAnsi" w:hAnsiTheme="majorHAnsi"/>
          <w:sz w:val="28"/>
          <w:szCs w:val="28"/>
        </w:rPr>
      </w:pPr>
    </w:p>
    <w:p w:rsidR="00CD27B9" w:rsidRPr="00FF704A" w:rsidRDefault="00CD27B9" w:rsidP="003139CC">
      <w:pPr>
        <w:ind w:firstLine="720"/>
        <w:jc w:val="both"/>
        <w:rPr>
          <w:rFonts w:asciiTheme="majorHAnsi" w:hAnsiTheme="majorHAnsi"/>
          <w:sz w:val="28"/>
          <w:szCs w:val="28"/>
        </w:rPr>
      </w:pPr>
      <w:r w:rsidRPr="00FF704A">
        <w:rPr>
          <w:rFonts w:asciiTheme="majorHAnsi" w:hAnsiTheme="majorHAnsi"/>
          <w:sz w:val="28"/>
          <w:szCs w:val="28"/>
        </w:rPr>
        <w:t xml:space="preserve">Καλούμε τον ΕΟΠΥΥ να προβεί σε άμεση πληρωμή των οφειλών του, παλαιών και νέων,  προς τους συναδέλφους ώστε να συνεχίσουν να προσφέρουν της υπηρεσίες τους προς τους ασφαλισμένους του Οργανισμού. </w:t>
      </w:r>
    </w:p>
    <w:p w:rsidR="003139CC" w:rsidRPr="00FF704A" w:rsidRDefault="003139CC" w:rsidP="003139CC">
      <w:pPr>
        <w:ind w:firstLine="720"/>
        <w:jc w:val="both"/>
        <w:rPr>
          <w:rFonts w:asciiTheme="majorHAnsi" w:hAnsiTheme="majorHAnsi"/>
          <w:sz w:val="28"/>
          <w:szCs w:val="28"/>
        </w:rPr>
      </w:pPr>
    </w:p>
    <w:p w:rsidR="003139CC" w:rsidRPr="00FF704A" w:rsidRDefault="00FF704A" w:rsidP="00FF704A">
      <w:pPr>
        <w:ind w:firstLine="720"/>
        <w:rPr>
          <w:rFonts w:asciiTheme="majorHAnsi" w:hAnsiTheme="majorHAnsi"/>
          <w:sz w:val="28"/>
          <w:szCs w:val="28"/>
        </w:rPr>
      </w:pPr>
      <w:r>
        <w:rPr>
          <w:rFonts w:asciiTheme="majorHAnsi" w:hAnsiTheme="majorHAnsi"/>
          <w:sz w:val="28"/>
          <w:szCs w:val="28"/>
        </w:rPr>
        <w:t xml:space="preserve">                                     </w:t>
      </w:r>
      <w:r w:rsidR="003139CC" w:rsidRPr="00FF704A">
        <w:rPr>
          <w:rFonts w:asciiTheme="majorHAnsi" w:hAnsiTheme="majorHAnsi"/>
          <w:sz w:val="28"/>
          <w:szCs w:val="28"/>
        </w:rPr>
        <w:t>Για το Δ</w:t>
      </w:r>
      <w:r>
        <w:rPr>
          <w:rFonts w:asciiTheme="majorHAnsi" w:hAnsiTheme="majorHAnsi"/>
          <w:sz w:val="28"/>
          <w:szCs w:val="28"/>
        </w:rPr>
        <w:t>.</w:t>
      </w:r>
      <w:r w:rsidR="003139CC" w:rsidRPr="00FF704A">
        <w:rPr>
          <w:rFonts w:asciiTheme="majorHAnsi" w:hAnsiTheme="majorHAnsi"/>
          <w:sz w:val="28"/>
          <w:szCs w:val="28"/>
        </w:rPr>
        <w:t>Σ</w:t>
      </w:r>
      <w:r>
        <w:rPr>
          <w:rFonts w:asciiTheme="majorHAnsi" w:hAnsiTheme="majorHAnsi"/>
          <w:sz w:val="28"/>
          <w:szCs w:val="28"/>
        </w:rPr>
        <w:t>.</w:t>
      </w:r>
      <w:r w:rsidR="003139CC" w:rsidRPr="00FF704A">
        <w:rPr>
          <w:rFonts w:asciiTheme="majorHAnsi" w:hAnsiTheme="majorHAnsi"/>
          <w:sz w:val="28"/>
          <w:szCs w:val="28"/>
        </w:rPr>
        <w:t xml:space="preserve"> του </w:t>
      </w:r>
      <w:r>
        <w:rPr>
          <w:rFonts w:asciiTheme="majorHAnsi" w:hAnsiTheme="majorHAnsi"/>
          <w:sz w:val="28"/>
          <w:szCs w:val="28"/>
        </w:rPr>
        <w:t xml:space="preserve"> </w:t>
      </w:r>
      <w:r w:rsidR="003139CC" w:rsidRPr="00FF704A">
        <w:rPr>
          <w:rFonts w:asciiTheme="majorHAnsi" w:hAnsiTheme="majorHAnsi"/>
          <w:sz w:val="28"/>
          <w:szCs w:val="28"/>
        </w:rPr>
        <w:t>Ι.Σ.Π.Ο.</w:t>
      </w:r>
    </w:p>
    <w:p w:rsidR="00D47F7D" w:rsidRDefault="00D47F7D" w:rsidP="00D47F7D">
      <w:pPr>
        <w:jc w:val="center"/>
        <w:rPr>
          <w:rFonts w:asciiTheme="majorHAnsi" w:hAnsiTheme="majorHAnsi"/>
          <w:sz w:val="28"/>
          <w:szCs w:val="28"/>
        </w:rPr>
      </w:pPr>
    </w:p>
    <w:p w:rsidR="00D47F7D" w:rsidRDefault="00D47F7D" w:rsidP="00D47F7D">
      <w:pPr>
        <w:jc w:val="both"/>
        <w:rPr>
          <w:rFonts w:asciiTheme="majorHAnsi" w:hAnsiTheme="majorHAnsi"/>
          <w:sz w:val="28"/>
          <w:szCs w:val="28"/>
        </w:rPr>
      </w:pPr>
      <w:r>
        <w:rPr>
          <w:rFonts w:asciiTheme="majorHAnsi" w:hAnsiTheme="majorHAnsi"/>
          <w:sz w:val="28"/>
          <w:szCs w:val="28"/>
        </w:rPr>
        <w:t xml:space="preserve">    </w:t>
      </w:r>
      <w:r w:rsidR="006F1476">
        <w:rPr>
          <w:rFonts w:asciiTheme="majorHAnsi" w:hAnsiTheme="majorHAnsi"/>
          <w:sz w:val="28"/>
          <w:szCs w:val="28"/>
        </w:rPr>
        <w:t xml:space="preserve">       </w:t>
      </w:r>
      <w:r>
        <w:rPr>
          <w:rFonts w:asciiTheme="majorHAnsi" w:hAnsiTheme="majorHAnsi"/>
          <w:sz w:val="28"/>
          <w:szCs w:val="28"/>
        </w:rPr>
        <w:t xml:space="preserve">Ο  </w:t>
      </w:r>
      <w:r w:rsidR="006F1476">
        <w:rPr>
          <w:rFonts w:asciiTheme="majorHAnsi" w:hAnsiTheme="majorHAnsi"/>
          <w:sz w:val="28"/>
          <w:szCs w:val="28"/>
        </w:rPr>
        <w:t>Πρόεδρος</w:t>
      </w:r>
      <w:r w:rsidR="006F1476">
        <w:rPr>
          <w:rFonts w:asciiTheme="majorHAnsi" w:hAnsiTheme="majorHAnsi"/>
          <w:sz w:val="28"/>
          <w:szCs w:val="28"/>
        </w:rPr>
        <w:tab/>
      </w:r>
      <w:r w:rsidR="006F1476">
        <w:rPr>
          <w:rFonts w:asciiTheme="majorHAnsi" w:hAnsiTheme="majorHAnsi"/>
          <w:sz w:val="28"/>
          <w:szCs w:val="28"/>
        </w:rPr>
        <w:tab/>
      </w:r>
      <w:r w:rsidR="006F1476">
        <w:rPr>
          <w:rFonts w:asciiTheme="majorHAnsi" w:hAnsiTheme="majorHAnsi"/>
          <w:sz w:val="28"/>
          <w:szCs w:val="28"/>
        </w:rPr>
        <w:tab/>
      </w:r>
      <w:r w:rsidR="006F1476">
        <w:rPr>
          <w:rFonts w:asciiTheme="majorHAnsi" w:hAnsiTheme="majorHAnsi"/>
          <w:sz w:val="28"/>
          <w:szCs w:val="28"/>
        </w:rPr>
        <w:tab/>
      </w:r>
      <w:r w:rsidR="006F1476">
        <w:rPr>
          <w:rFonts w:asciiTheme="majorHAnsi" w:hAnsiTheme="majorHAnsi"/>
          <w:sz w:val="28"/>
          <w:szCs w:val="28"/>
        </w:rPr>
        <w:tab/>
      </w:r>
      <w:r w:rsidR="006F1476">
        <w:rPr>
          <w:rFonts w:asciiTheme="majorHAnsi" w:hAnsiTheme="majorHAnsi"/>
          <w:sz w:val="28"/>
          <w:szCs w:val="28"/>
        </w:rPr>
        <w:tab/>
        <w:t xml:space="preserve"> </w:t>
      </w:r>
      <w:r>
        <w:rPr>
          <w:rFonts w:asciiTheme="majorHAnsi" w:hAnsiTheme="majorHAnsi"/>
          <w:sz w:val="28"/>
          <w:szCs w:val="28"/>
        </w:rPr>
        <w:t>Ο  Γεν. Γραμματέας</w:t>
      </w:r>
    </w:p>
    <w:p w:rsidR="00D47F7D" w:rsidRDefault="00D47F7D" w:rsidP="00D47F7D">
      <w:pPr>
        <w:jc w:val="both"/>
        <w:rPr>
          <w:rFonts w:asciiTheme="majorHAnsi" w:hAnsiTheme="majorHAnsi"/>
          <w:sz w:val="28"/>
          <w:szCs w:val="28"/>
        </w:rPr>
      </w:pPr>
    </w:p>
    <w:p w:rsidR="00D47F7D" w:rsidRDefault="00D47F7D" w:rsidP="00D47F7D">
      <w:pPr>
        <w:jc w:val="both"/>
        <w:rPr>
          <w:rFonts w:asciiTheme="majorHAnsi" w:hAnsiTheme="majorHAnsi"/>
          <w:sz w:val="28"/>
          <w:szCs w:val="28"/>
        </w:rPr>
      </w:pPr>
      <w:r>
        <w:rPr>
          <w:rFonts w:asciiTheme="majorHAnsi" w:hAnsiTheme="majorHAnsi"/>
          <w:sz w:val="28"/>
          <w:szCs w:val="28"/>
        </w:rPr>
        <w:t xml:space="preserve">Ευάγγελος  Παπαγεωργίου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w:t>
      </w:r>
      <w:r w:rsidR="006F1476">
        <w:rPr>
          <w:rFonts w:asciiTheme="majorHAnsi" w:hAnsiTheme="majorHAnsi"/>
          <w:sz w:val="28"/>
          <w:szCs w:val="28"/>
        </w:rPr>
        <w:t xml:space="preserve">    </w:t>
      </w:r>
      <w:r>
        <w:rPr>
          <w:rFonts w:asciiTheme="majorHAnsi" w:hAnsiTheme="majorHAnsi"/>
          <w:sz w:val="28"/>
          <w:szCs w:val="28"/>
        </w:rPr>
        <w:t xml:space="preserve">  Χρήστος  Γιαννικούλης </w:t>
      </w:r>
    </w:p>
    <w:p w:rsidR="00CF2CA3" w:rsidRPr="00CF2CA3" w:rsidRDefault="00CF2CA3" w:rsidP="00D47F7D">
      <w:pPr>
        <w:ind w:left="2880" w:firstLine="720"/>
        <w:jc w:val="center"/>
        <w:rPr>
          <w:rFonts w:asciiTheme="majorHAnsi" w:hAnsiTheme="majorHAnsi"/>
          <w:sz w:val="28"/>
          <w:szCs w:val="28"/>
        </w:rPr>
      </w:pPr>
    </w:p>
    <w:p w:rsidR="00C519F2" w:rsidRDefault="00C519F2" w:rsidP="00D47F7D">
      <w:pPr>
        <w:ind w:left="2160" w:firstLine="720"/>
        <w:jc w:val="center"/>
        <w:rPr>
          <w:rFonts w:asciiTheme="minorHAnsi" w:hAnsiTheme="minorHAnsi"/>
          <w:sz w:val="25"/>
          <w:szCs w:val="25"/>
        </w:rPr>
      </w:pPr>
    </w:p>
    <w:p w:rsidR="00A11C70" w:rsidRDefault="00A11C70" w:rsidP="00D47F7D">
      <w:pPr>
        <w:jc w:val="center"/>
        <w:rPr>
          <w:rFonts w:asciiTheme="minorHAnsi" w:hAnsiTheme="minorHAnsi"/>
          <w:sz w:val="25"/>
          <w:szCs w:val="25"/>
        </w:rPr>
      </w:pPr>
    </w:p>
    <w:p w:rsidR="00907F27" w:rsidRDefault="00907F27" w:rsidP="0098214D">
      <w:pPr>
        <w:rPr>
          <w:rFonts w:asciiTheme="minorHAnsi" w:hAnsiTheme="minorHAnsi"/>
          <w:sz w:val="25"/>
          <w:szCs w:val="25"/>
        </w:rPr>
      </w:pPr>
    </w:p>
    <w:p w:rsidR="00907F27" w:rsidRPr="00907F27" w:rsidRDefault="00907F27" w:rsidP="0098214D">
      <w:pPr>
        <w:rPr>
          <w:rFonts w:asciiTheme="minorHAnsi" w:hAnsiTheme="minorHAnsi"/>
          <w:sz w:val="36"/>
          <w:szCs w:val="36"/>
        </w:rPr>
      </w:pPr>
    </w:p>
    <w:p w:rsidR="00A11C70" w:rsidRPr="00907F27" w:rsidRDefault="00A11C70" w:rsidP="00907F27">
      <w:pPr>
        <w:ind w:left="2160" w:firstLine="720"/>
        <w:jc w:val="both"/>
        <w:rPr>
          <w:rFonts w:asciiTheme="minorHAnsi" w:hAnsiTheme="minorHAnsi" w:cstheme="minorHAnsi"/>
          <w:sz w:val="36"/>
          <w:szCs w:val="36"/>
        </w:rPr>
      </w:pPr>
    </w:p>
    <w:p w:rsidR="00C519F2" w:rsidRPr="00907F27" w:rsidRDefault="00C519F2" w:rsidP="00907F27">
      <w:pPr>
        <w:jc w:val="both"/>
        <w:rPr>
          <w:rFonts w:asciiTheme="minorHAnsi" w:hAnsiTheme="minorHAnsi" w:cstheme="minorHAnsi"/>
          <w:sz w:val="36"/>
          <w:szCs w:val="36"/>
        </w:rPr>
      </w:pPr>
      <w:r w:rsidRPr="00907F27">
        <w:rPr>
          <w:rFonts w:asciiTheme="minorHAnsi" w:hAnsiTheme="minorHAnsi" w:cstheme="minorHAnsi"/>
          <w:sz w:val="36"/>
          <w:szCs w:val="36"/>
        </w:rPr>
        <w:tab/>
      </w:r>
      <w:r w:rsidRPr="00907F27">
        <w:rPr>
          <w:rFonts w:asciiTheme="minorHAnsi" w:hAnsiTheme="minorHAnsi" w:cstheme="minorHAnsi"/>
          <w:sz w:val="36"/>
          <w:szCs w:val="36"/>
        </w:rPr>
        <w:tab/>
      </w:r>
      <w:r w:rsidRPr="00907F27">
        <w:rPr>
          <w:rFonts w:asciiTheme="minorHAnsi" w:hAnsiTheme="minorHAnsi" w:cstheme="minorHAnsi"/>
          <w:sz w:val="36"/>
          <w:szCs w:val="36"/>
        </w:rPr>
        <w:tab/>
      </w:r>
      <w:r w:rsidRPr="00907F27">
        <w:rPr>
          <w:rFonts w:asciiTheme="minorHAnsi" w:hAnsiTheme="minorHAnsi" w:cstheme="minorHAnsi"/>
          <w:sz w:val="36"/>
          <w:szCs w:val="36"/>
        </w:rPr>
        <w:tab/>
        <w:t xml:space="preserve">  </w:t>
      </w:r>
      <w:r w:rsidRPr="00907F27">
        <w:rPr>
          <w:rFonts w:asciiTheme="minorHAnsi" w:hAnsiTheme="minorHAnsi" w:cstheme="minorHAnsi"/>
          <w:sz w:val="36"/>
          <w:szCs w:val="36"/>
        </w:rPr>
        <w:tab/>
        <w:t xml:space="preserve"> </w:t>
      </w:r>
    </w:p>
    <w:p w:rsidR="00C519F2" w:rsidRPr="00907F27" w:rsidRDefault="00C519F2" w:rsidP="00907F27">
      <w:pPr>
        <w:jc w:val="both"/>
        <w:rPr>
          <w:rStyle w:val="-1"/>
          <w:rFonts w:asciiTheme="minorHAnsi" w:hAnsiTheme="minorHAnsi" w:cstheme="minorHAnsi"/>
          <w:color w:val="000000"/>
          <w:sz w:val="36"/>
          <w:szCs w:val="36"/>
        </w:rPr>
      </w:pPr>
    </w:p>
    <w:p w:rsidR="00636539" w:rsidRPr="00907F27" w:rsidRDefault="00636539" w:rsidP="00907F27">
      <w:pPr>
        <w:jc w:val="both"/>
        <w:rPr>
          <w:rFonts w:asciiTheme="minorHAnsi" w:hAnsiTheme="minorHAnsi" w:cstheme="minorHAnsi"/>
          <w:sz w:val="36"/>
          <w:szCs w:val="36"/>
        </w:rPr>
      </w:pPr>
    </w:p>
    <w:sectPr w:rsidR="00636539" w:rsidRPr="00907F27" w:rsidSect="00907F27">
      <w:headerReference w:type="first" r:id="rId6"/>
      <w:pgSz w:w="11906" w:h="16838"/>
      <w:pgMar w:top="1440" w:right="1361" w:bottom="1440" w:left="1361" w:header="567"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862" w:rsidRDefault="00905862" w:rsidP="00035218">
      <w:r>
        <w:separator/>
      </w:r>
    </w:p>
  </w:endnote>
  <w:endnote w:type="continuationSeparator" w:id="1">
    <w:p w:rsidR="00905862" w:rsidRDefault="00905862" w:rsidP="00035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862" w:rsidRDefault="00905862" w:rsidP="00035218">
      <w:r>
        <w:separator/>
      </w:r>
    </w:p>
  </w:footnote>
  <w:footnote w:type="continuationSeparator" w:id="1">
    <w:p w:rsidR="00905862" w:rsidRDefault="00905862" w:rsidP="00035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10205" w:type="dxa"/>
      <w:jc w:val="center"/>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tblPr>
    <w:tblGrid>
      <w:gridCol w:w="10205"/>
    </w:tblGrid>
    <w:tr w:rsidR="00035218" w:rsidTr="00035218">
      <w:trPr>
        <w:jc w:val="center"/>
      </w:trPr>
      <w:tc>
        <w:tcPr>
          <w:tcW w:w="10205" w:type="dxa"/>
        </w:tcPr>
        <w:p w:rsidR="00035218" w:rsidRDefault="00035218" w:rsidP="00035218">
          <w:pPr>
            <w:pStyle w:val="a5"/>
            <w:jc w:val="center"/>
          </w:pPr>
          <w:r>
            <w:rPr>
              <w:noProof/>
              <w:lang w:eastAsia="el-GR"/>
            </w:rPr>
            <w:drawing>
              <wp:inline distT="0" distB="0" distL="0" distR="0">
                <wp:extent cx="5200650" cy="1499870"/>
                <wp:effectExtent l="0" t="0" r="0" b="508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contras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0650" cy="1499870"/>
                        </a:xfrm>
                        <a:prstGeom prst="rect">
                          <a:avLst/>
                        </a:prstGeom>
                        <a:noFill/>
                      </pic:spPr>
                    </pic:pic>
                  </a:graphicData>
                </a:graphic>
              </wp:inline>
            </w:drawing>
          </w:r>
        </w:p>
        <w:p w:rsidR="00035218" w:rsidRPr="00035218" w:rsidRDefault="00035218">
          <w:pPr>
            <w:pStyle w:val="a5"/>
            <w:rPr>
              <w:sz w:val="10"/>
              <w:szCs w:val="10"/>
            </w:rPr>
          </w:pPr>
        </w:p>
      </w:tc>
    </w:tr>
  </w:tbl>
  <w:p w:rsidR="00035218" w:rsidRDefault="0003521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w:hdrShapeDefaults>
  <w:footnotePr>
    <w:footnote w:id="0"/>
    <w:footnote w:id="1"/>
  </w:footnotePr>
  <w:endnotePr>
    <w:endnote w:id="0"/>
    <w:endnote w:id="1"/>
  </w:endnotePr>
  <w:compat/>
  <w:rsids>
    <w:rsidRoot w:val="00035218"/>
    <w:rsid w:val="00035218"/>
    <w:rsid w:val="000E775F"/>
    <w:rsid w:val="001367CF"/>
    <w:rsid w:val="00162B43"/>
    <w:rsid w:val="00210E5E"/>
    <w:rsid w:val="00216F5A"/>
    <w:rsid w:val="002A15D1"/>
    <w:rsid w:val="002C284E"/>
    <w:rsid w:val="003139CC"/>
    <w:rsid w:val="003B58D1"/>
    <w:rsid w:val="003E357E"/>
    <w:rsid w:val="00454C2D"/>
    <w:rsid w:val="004726E2"/>
    <w:rsid w:val="004D6E37"/>
    <w:rsid w:val="005118B7"/>
    <w:rsid w:val="005859D2"/>
    <w:rsid w:val="005C31F3"/>
    <w:rsid w:val="005D6A2A"/>
    <w:rsid w:val="00616D19"/>
    <w:rsid w:val="00636539"/>
    <w:rsid w:val="00680AA1"/>
    <w:rsid w:val="006F1476"/>
    <w:rsid w:val="007D09AD"/>
    <w:rsid w:val="00832E7E"/>
    <w:rsid w:val="00883344"/>
    <w:rsid w:val="008C2C19"/>
    <w:rsid w:val="00905862"/>
    <w:rsid w:val="00907F27"/>
    <w:rsid w:val="009243AA"/>
    <w:rsid w:val="0098214D"/>
    <w:rsid w:val="00984719"/>
    <w:rsid w:val="00A11C70"/>
    <w:rsid w:val="00A508B7"/>
    <w:rsid w:val="00B0296E"/>
    <w:rsid w:val="00B1367C"/>
    <w:rsid w:val="00B3334B"/>
    <w:rsid w:val="00B5740F"/>
    <w:rsid w:val="00C519F2"/>
    <w:rsid w:val="00C7233C"/>
    <w:rsid w:val="00C90C7A"/>
    <w:rsid w:val="00C95F2D"/>
    <w:rsid w:val="00CD27B9"/>
    <w:rsid w:val="00CE4DE5"/>
    <w:rsid w:val="00CF2CA3"/>
    <w:rsid w:val="00D21828"/>
    <w:rsid w:val="00D25AF7"/>
    <w:rsid w:val="00D33EFA"/>
    <w:rsid w:val="00D473AE"/>
    <w:rsid w:val="00D47F7D"/>
    <w:rsid w:val="00D6469C"/>
    <w:rsid w:val="00DB348F"/>
    <w:rsid w:val="00E270DF"/>
    <w:rsid w:val="00E73FFB"/>
    <w:rsid w:val="00E84FC3"/>
    <w:rsid w:val="00E85F4F"/>
    <w:rsid w:val="00EB297E"/>
    <w:rsid w:val="00ED1507"/>
    <w:rsid w:val="00F04443"/>
    <w:rsid w:val="00F25569"/>
    <w:rsid w:val="00FF70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35218"/>
    <w:pPr>
      <w:spacing w:after="0" w:line="240" w:lineRule="auto"/>
    </w:pPr>
    <w:rPr>
      <w:rFonts w:eastAsiaTheme="minorEastAsia"/>
      <w:lang w:eastAsia="el-GR"/>
    </w:rPr>
  </w:style>
  <w:style w:type="character" w:customStyle="1" w:styleId="Char">
    <w:name w:val="Χωρίς διάστιχο Char"/>
    <w:basedOn w:val="a0"/>
    <w:link w:val="a3"/>
    <w:uiPriority w:val="1"/>
    <w:rsid w:val="00035218"/>
    <w:rPr>
      <w:rFonts w:eastAsiaTheme="minorEastAsia"/>
      <w:lang w:eastAsia="el-GR"/>
    </w:rPr>
  </w:style>
  <w:style w:type="paragraph" w:styleId="a4">
    <w:name w:val="Balloon Text"/>
    <w:basedOn w:val="a"/>
    <w:link w:val="Char0"/>
    <w:uiPriority w:val="99"/>
    <w:semiHidden/>
    <w:unhideWhenUsed/>
    <w:rsid w:val="00035218"/>
    <w:pPr>
      <w:overflowPunct/>
      <w:autoSpaceDE/>
      <w:autoSpaceDN/>
      <w:adjustRightInd/>
      <w:textAlignment w:val="auto"/>
    </w:pPr>
    <w:rPr>
      <w:rFonts w:ascii="Tahoma" w:eastAsiaTheme="minorHAnsi" w:hAnsi="Tahoma" w:cs="Tahoma"/>
      <w:sz w:val="16"/>
      <w:szCs w:val="16"/>
      <w:lang w:eastAsia="en-US"/>
    </w:rPr>
  </w:style>
  <w:style w:type="character" w:customStyle="1" w:styleId="Char0">
    <w:name w:val="Κείμενο πλαισίου Char"/>
    <w:basedOn w:val="a0"/>
    <w:link w:val="a4"/>
    <w:uiPriority w:val="99"/>
    <w:semiHidden/>
    <w:rsid w:val="00035218"/>
    <w:rPr>
      <w:rFonts w:ascii="Tahoma" w:hAnsi="Tahoma" w:cs="Tahoma"/>
      <w:sz w:val="16"/>
      <w:szCs w:val="16"/>
    </w:rPr>
  </w:style>
  <w:style w:type="paragraph" w:styleId="a5">
    <w:name w:val="header"/>
    <w:basedOn w:val="a"/>
    <w:link w:val="Char1"/>
    <w:uiPriority w:val="99"/>
    <w:unhideWhenUsed/>
    <w:rsid w:val="00035218"/>
    <w:pPr>
      <w:tabs>
        <w:tab w:val="center" w:pos="4153"/>
        <w:tab w:val="right" w:pos="8306"/>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Char1">
    <w:name w:val="Κεφαλίδα Char"/>
    <w:basedOn w:val="a0"/>
    <w:link w:val="a5"/>
    <w:uiPriority w:val="99"/>
    <w:rsid w:val="00035218"/>
  </w:style>
  <w:style w:type="paragraph" w:styleId="a6">
    <w:name w:val="footer"/>
    <w:basedOn w:val="a"/>
    <w:link w:val="Char2"/>
    <w:uiPriority w:val="99"/>
    <w:unhideWhenUsed/>
    <w:rsid w:val="00035218"/>
    <w:pPr>
      <w:tabs>
        <w:tab w:val="center" w:pos="4153"/>
        <w:tab w:val="right" w:pos="8306"/>
      </w:tabs>
    </w:pPr>
  </w:style>
  <w:style w:type="character" w:customStyle="1" w:styleId="Char2">
    <w:name w:val="Υποσέλιδο Char"/>
    <w:basedOn w:val="a0"/>
    <w:link w:val="a6"/>
    <w:uiPriority w:val="99"/>
    <w:rsid w:val="00035218"/>
  </w:style>
  <w:style w:type="table" w:styleId="a7">
    <w:name w:val="Table Grid"/>
    <w:basedOn w:val="a1"/>
    <w:uiPriority w:val="59"/>
    <w:rsid w:val="0003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Υπερ-σύνδεση1"/>
    <w:basedOn w:val="a0"/>
    <w:rsid w:val="00C519F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250</Words>
  <Characters>1354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Katsarou C</dc:creator>
  <cp:lastModifiedBy>user</cp:lastModifiedBy>
  <cp:revision>5</cp:revision>
  <cp:lastPrinted>2016-05-26T08:59:00Z</cp:lastPrinted>
  <dcterms:created xsi:type="dcterms:W3CDTF">2016-06-02T09:47:00Z</dcterms:created>
  <dcterms:modified xsi:type="dcterms:W3CDTF">2016-06-02T09:57:00Z</dcterms:modified>
</cp:coreProperties>
</file>